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7BAD" w14:textId="77777777" w:rsidR="00AC2926" w:rsidRDefault="009E5720" w:rsidP="005F726A">
      <w:pPr>
        <w:pStyle w:val="CoversheetStaticText"/>
        <w:rPr>
          <w:b/>
        </w:rPr>
      </w:pPr>
      <w:r>
        <w:rPr>
          <w:b/>
        </w:rPr>
        <w:t>DATED</w:t>
      </w:r>
    </w:p>
    <w:p w14:paraId="2D598E31" w14:textId="77777777" w:rsidR="00AC2926" w:rsidRDefault="009E5720" w:rsidP="005F726A">
      <w:pPr>
        <w:pStyle w:val="CoversheetStaticText"/>
        <w:rPr>
          <w:b/>
        </w:rPr>
      </w:pPr>
      <w:r>
        <w:t>------------</w:t>
      </w:r>
    </w:p>
    <w:p w14:paraId="5FB0A878" w14:textId="419DBE71" w:rsidR="00AC2926" w:rsidRDefault="009E5720" w:rsidP="005F726A">
      <w:pPr>
        <w:pStyle w:val="CoversheetTitle"/>
      </w:pPr>
      <w:r>
        <w:t xml:space="preserve">Contract for the sale </w:t>
      </w:r>
      <w:r w:rsidR="00942C39">
        <w:t xml:space="preserve">of </w:t>
      </w:r>
      <w:r w:rsidR="00CC5116">
        <w:rPr>
          <w:smallCaps w:val="0"/>
          <w:sz w:val="24"/>
        </w:rPr>
        <w:t>0</w:t>
      </w:r>
      <w:r w:rsidR="00611539" w:rsidRPr="00611539">
        <w:rPr>
          <w:smallCaps w:val="0"/>
          <w:sz w:val="24"/>
        </w:rPr>
        <w:t>.</w:t>
      </w:r>
      <w:r w:rsidR="00CC5116">
        <w:rPr>
          <w:smallCaps w:val="0"/>
          <w:sz w:val="24"/>
        </w:rPr>
        <w:t>7</w:t>
      </w:r>
      <w:r w:rsidR="00611539" w:rsidRPr="00611539">
        <w:rPr>
          <w:smallCaps w:val="0"/>
          <w:sz w:val="24"/>
        </w:rPr>
        <w:t>7</w:t>
      </w:r>
      <w:r w:rsidR="00611539">
        <w:t xml:space="preserve"> </w:t>
      </w:r>
      <w:r w:rsidR="00611539" w:rsidRPr="00611539">
        <w:rPr>
          <w:smallCaps w:val="0"/>
          <w:sz w:val="24"/>
        </w:rPr>
        <w:t>ACRES (</w:t>
      </w:r>
      <w:r w:rsidR="00CC5116">
        <w:rPr>
          <w:smallCaps w:val="0"/>
          <w:sz w:val="24"/>
        </w:rPr>
        <w:t>0.31</w:t>
      </w:r>
      <w:r w:rsidR="00611539" w:rsidRPr="00611539">
        <w:rPr>
          <w:smallCaps w:val="0"/>
          <w:sz w:val="24"/>
        </w:rPr>
        <w:t xml:space="preserve"> HECTARES)</w:t>
      </w:r>
      <w:r w:rsidR="00611539" w:rsidRPr="00611539">
        <w:t xml:space="preserve"> </w:t>
      </w:r>
      <w:r>
        <w:t>of freehold land with vacant possession</w:t>
      </w:r>
      <w:r w:rsidR="00611539">
        <w:t xml:space="preserve"> </w:t>
      </w:r>
      <w:r w:rsidR="00611539" w:rsidRPr="00611539">
        <w:rPr>
          <w:smallCaps w:val="0"/>
          <w:sz w:val="24"/>
        </w:rPr>
        <w:t xml:space="preserve">(LOT </w:t>
      </w:r>
      <w:r w:rsidR="00CC5116">
        <w:rPr>
          <w:smallCaps w:val="0"/>
          <w:sz w:val="24"/>
        </w:rPr>
        <w:t>2</w:t>
      </w:r>
      <w:r w:rsidR="00611539" w:rsidRPr="00611539">
        <w:rPr>
          <w:smallCaps w:val="0"/>
          <w:sz w:val="24"/>
        </w:rPr>
        <w:t>)</w:t>
      </w:r>
    </w:p>
    <w:p w14:paraId="173BE60D" w14:textId="77777777" w:rsidR="00AC2926" w:rsidRDefault="009E5720" w:rsidP="005F726A">
      <w:pPr>
        <w:pStyle w:val="CoversheetIntro"/>
      </w:pPr>
      <w:r>
        <w:t>at</w:t>
      </w:r>
    </w:p>
    <w:p w14:paraId="6FF54E1F" w14:textId="3241EBAC" w:rsidR="00AC2926" w:rsidRDefault="00611539" w:rsidP="005F726A">
      <w:pPr>
        <w:pStyle w:val="CoverSheetSubjectText"/>
      </w:pPr>
      <w:proofErr w:type="spellStart"/>
      <w:r>
        <w:t>Gamblesby</w:t>
      </w:r>
      <w:proofErr w:type="spellEnd"/>
      <w:r w:rsidR="0053569C">
        <w:t>, Penrith</w:t>
      </w:r>
      <w:r>
        <w:t>, Cumbria</w:t>
      </w:r>
    </w:p>
    <w:p w14:paraId="30C2ED74" w14:textId="0207936A" w:rsidR="00AC2926" w:rsidRDefault="009E5720" w:rsidP="005F726A">
      <w:pPr>
        <w:pStyle w:val="CoversheetStaticText"/>
      </w:pPr>
      <w:r>
        <w:t>between</w:t>
      </w:r>
    </w:p>
    <w:p w14:paraId="411C4E16" w14:textId="7A9FDF66" w:rsidR="00AC2926" w:rsidRDefault="00611539" w:rsidP="005F726A">
      <w:pPr>
        <w:pStyle w:val="CoversheetParty"/>
      </w:pPr>
      <w:r>
        <w:t>Frances Claire Slee and Janice Margaret Heighway</w:t>
      </w:r>
    </w:p>
    <w:p w14:paraId="75EC7EC0" w14:textId="77777777" w:rsidR="00AC2926" w:rsidRDefault="009E5720" w:rsidP="005F726A">
      <w:pPr>
        <w:pStyle w:val="CoversheetStaticText"/>
      </w:pPr>
      <w:r>
        <w:t>and</w:t>
      </w:r>
    </w:p>
    <w:p w14:paraId="566ADC96" w14:textId="77777777" w:rsidR="00AC2926" w:rsidRDefault="009E5720" w:rsidP="005F726A">
      <w:pPr>
        <w:pStyle w:val="CoversheetParty"/>
      </w:pPr>
      <w:r>
        <w:t>[</w:t>
      </w:r>
      <w:r w:rsidR="0053569C">
        <w:tab/>
      </w:r>
      <w:r w:rsidR="0053569C">
        <w:tab/>
      </w:r>
      <w:r w:rsidR="0053569C">
        <w:tab/>
      </w:r>
      <w:r w:rsidR="0053569C">
        <w:tab/>
      </w:r>
      <w:r w:rsidR="0053569C">
        <w:tab/>
      </w:r>
      <w:r w:rsidR="0053569C">
        <w:tab/>
      </w:r>
      <w:r w:rsidR="0053569C">
        <w:tab/>
      </w:r>
      <w:r w:rsidR="0053569C">
        <w:tab/>
      </w:r>
      <w:r>
        <w:t>]</w:t>
      </w:r>
    </w:p>
    <w:p w14:paraId="7370C3C9" w14:textId="77777777" w:rsidR="00611539" w:rsidRDefault="00611539" w:rsidP="005F726A">
      <w:pPr>
        <w:pStyle w:val="CoversheetParty"/>
      </w:pPr>
    </w:p>
    <w:p w14:paraId="3EEB50B3" w14:textId="77777777" w:rsidR="00611539" w:rsidRDefault="00611539" w:rsidP="005F726A">
      <w:pPr>
        <w:pStyle w:val="CoversheetParty"/>
      </w:pPr>
    </w:p>
    <w:p w14:paraId="2AE919BB" w14:textId="77777777" w:rsidR="00611539" w:rsidRDefault="00611539" w:rsidP="005F726A">
      <w:pPr>
        <w:pStyle w:val="CoversheetParty"/>
      </w:pPr>
    </w:p>
    <w:p w14:paraId="7652A73B" w14:textId="77777777" w:rsidR="00611539" w:rsidRDefault="00611539" w:rsidP="005F726A">
      <w:pPr>
        <w:pStyle w:val="CoversheetParty"/>
      </w:pPr>
    </w:p>
    <w:p w14:paraId="2767E91D" w14:textId="77777777" w:rsidR="00611539" w:rsidRPr="00611539" w:rsidRDefault="00611539" w:rsidP="00611539">
      <w:pPr>
        <w:pStyle w:val="CoversheetParty"/>
        <w:contextualSpacing/>
        <w:rPr>
          <w:b w:val="0"/>
          <w:bCs/>
          <w:sz w:val="20"/>
        </w:rPr>
      </w:pPr>
      <w:r w:rsidRPr="00611539">
        <w:rPr>
          <w:b w:val="0"/>
          <w:bCs/>
          <w:sz w:val="20"/>
        </w:rPr>
        <w:t>Arnison Heelis Solicitors</w:t>
      </w:r>
    </w:p>
    <w:p w14:paraId="5866CD08" w14:textId="77777777" w:rsidR="00611539" w:rsidRPr="00611539" w:rsidRDefault="00611539" w:rsidP="00611539">
      <w:pPr>
        <w:pStyle w:val="CoversheetParty"/>
        <w:contextualSpacing/>
        <w:rPr>
          <w:b w:val="0"/>
          <w:bCs/>
          <w:sz w:val="20"/>
        </w:rPr>
      </w:pPr>
      <w:r w:rsidRPr="00611539">
        <w:rPr>
          <w:b w:val="0"/>
          <w:bCs/>
          <w:sz w:val="20"/>
        </w:rPr>
        <w:t>1 St Andrew’s Place</w:t>
      </w:r>
    </w:p>
    <w:p w14:paraId="7AD4A164" w14:textId="77777777" w:rsidR="00611539" w:rsidRPr="00611539" w:rsidRDefault="00611539" w:rsidP="00611539">
      <w:pPr>
        <w:pStyle w:val="CoversheetParty"/>
        <w:contextualSpacing/>
        <w:rPr>
          <w:b w:val="0"/>
          <w:bCs/>
          <w:sz w:val="20"/>
        </w:rPr>
      </w:pPr>
      <w:r w:rsidRPr="00611539">
        <w:rPr>
          <w:b w:val="0"/>
          <w:bCs/>
          <w:sz w:val="20"/>
        </w:rPr>
        <w:t>Penrith</w:t>
      </w:r>
    </w:p>
    <w:p w14:paraId="4A407256" w14:textId="77777777" w:rsidR="00611539" w:rsidRPr="00611539" w:rsidRDefault="00611539" w:rsidP="00611539">
      <w:pPr>
        <w:pStyle w:val="CoversheetParty"/>
        <w:contextualSpacing/>
        <w:rPr>
          <w:b w:val="0"/>
          <w:bCs/>
          <w:sz w:val="20"/>
        </w:rPr>
      </w:pPr>
      <w:r w:rsidRPr="00611539">
        <w:rPr>
          <w:b w:val="0"/>
          <w:bCs/>
          <w:sz w:val="20"/>
        </w:rPr>
        <w:t>Cumbria CA11 7AW</w:t>
      </w:r>
    </w:p>
    <w:p w14:paraId="256F3492" w14:textId="77777777" w:rsidR="00611539" w:rsidRPr="00611539" w:rsidRDefault="00611539" w:rsidP="00611539">
      <w:pPr>
        <w:pStyle w:val="CoversheetParty"/>
        <w:contextualSpacing/>
        <w:rPr>
          <w:b w:val="0"/>
          <w:bCs/>
          <w:sz w:val="20"/>
        </w:rPr>
      </w:pPr>
      <w:r w:rsidRPr="00611539">
        <w:rPr>
          <w:b w:val="0"/>
          <w:bCs/>
          <w:sz w:val="20"/>
        </w:rPr>
        <w:t>(email: bruce.richardson@arnisonheelis.co.uk)</w:t>
      </w:r>
    </w:p>
    <w:p w14:paraId="0CC78703" w14:textId="093DFCD1" w:rsidR="00611539" w:rsidRDefault="00611539" w:rsidP="005F726A">
      <w:pPr>
        <w:pStyle w:val="CoversheetParty"/>
        <w:sectPr w:rsidR="00611539" w:rsidSect="00487D56">
          <w:pgSz w:w="12240" w:h="15840"/>
          <w:pgMar w:top="1440" w:right="1440" w:bottom="1440" w:left="1440" w:header="720" w:footer="720" w:gutter="0"/>
          <w:cols w:space="720"/>
        </w:sectPr>
      </w:pPr>
    </w:p>
    <w:p w14:paraId="5D9329EC" w14:textId="77777777" w:rsidR="004E674A" w:rsidRDefault="004E674A">
      <w:pPr>
        <w:sectPr w:rsidR="004E674A" w:rsidSect="00487D56">
          <w:type w:val="continuous"/>
          <w:pgSz w:w="12240" w:h="15840"/>
          <w:pgMar w:top="1440" w:right="1440" w:bottom="1440" w:left="1440" w:header="720" w:footer="720" w:gutter="0"/>
          <w:cols w:space="720"/>
        </w:sectPr>
      </w:pPr>
    </w:p>
    <w:p w14:paraId="71BC2689" w14:textId="77777777" w:rsidR="00AC2926" w:rsidRDefault="009E5720" w:rsidP="005F726A">
      <w:pPr>
        <w:pStyle w:val="HeadingLevel2"/>
      </w:pPr>
      <w:r>
        <w:lastRenderedPageBreak/>
        <w:t>CONTENTS</w:t>
      </w:r>
    </w:p>
    <w:p w14:paraId="5A1F53DF" w14:textId="77777777" w:rsidR="00AC2926" w:rsidRDefault="009E5720" w:rsidP="005F726A">
      <w:pPr>
        <w:pStyle w:val="HeadingLevel2"/>
      </w:pPr>
      <w:r>
        <w:t>____________________________________________________________</w:t>
      </w:r>
    </w:p>
    <w:p w14:paraId="7EE186D2" w14:textId="77777777" w:rsidR="00AC2926" w:rsidRDefault="009E5720" w:rsidP="005F726A">
      <w:pPr>
        <w:pStyle w:val="HeadingLevel2"/>
      </w:pPr>
      <w:r>
        <w:t>CLAUSE</w:t>
      </w:r>
    </w:p>
    <w:p w14:paraId="79A15A63" w14:textId="5D3B98E5" w:rsidR="009E5720" w:rsidRDefault="009E5720">
      <w:pPr>
        <w:pStyle w:val="TOC1"/>
        <w:tabs>
          <w:tab w:val="left" w:pos="48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73414069" w:history="1">
        <w:r w:rsidRPr="00D57565">
          <w:rPr>
            <w:rStyle w:val="Hyperlink"/>
            <w:noProof/>
          </w:rPr>
          <w:t>1.</w:t>
        </w:r>
        <w:r>
          <w:rPr>
            <w:rFonts w:eastAsiaTheme="minorEastAsia"/>
            <w:noProof/>
            <w:lang w:eastAsia="en-GB"/>
          </w:rPr>
          <w:tab/>
        </w:r>
        <w:r w:rsidRPr="00D57565">
          <w:rPr>
            <w:rStyle w:val="Hyperlink"/>
            <w:noProof/>
          </w:rPr>
          <w:t>Interpretation</w:t>
        </w:r>
        <w:r>
          <w:rPr>
            <w:noProof/>
          </w:rPr>
          <w:tab/>
        </w:r>
        <w:r>
          <w:rPr>
            <w:noProof/>
          </w:rPr>
          <w:fldChar w:fldCharType="begin"/>
        </w:r>
        <w:r>
          <w:rPr>
            <w:noProof/>
          </w:rPr>
          <w:instrText xml:space="preserve"> PAGEREF _Toc173414069 \h </w:instrText>
        </w:r>
        <w:r>
          <w:rPr>
            <w:noProof/>
          </w:rPr>
        </w:r>
        <w:r>
          <w:rPr>
            <w:noProof/>
          </w:rPr>
          <w:fldChar w:fldCharType="separate"/>
        </w:r>
        <w:r w:rsidR="00896E84">
          <w:rPr>
            <w:noProof/>
          </w:rPr>
          <w:t>2</w:t>
        </w:r>
        <w:r>
          <w:rPr>
            <w:noProof/>
          </w:rPr>
          <w:fldChar w:fldCharType="end"/>
        </w:r>
      </w:hyperlink>
    </w:p>
    <w:p w14:paraId="3E157AFB" w14:textId="5516553F" w:rsidR="009E5720" w:rsidRDefault="00D47D95">
      <w:pPr>
        <w:pStyle w:val="TOC1"/>
        <w:tabs>
          <w:tab w:val="left" w:pos="480"/>
          <w:tab w:val="right" w:leader="dot" w:pos="9350"/>
        </w:tabs>
        <w:rPr>
          <w:rFonts w:eastAsiaTheme="minorEastAsia"/>
          <w:noProof/>
          <w:lang w:eastAsia="en-GB"/>
        </w:rPr>
      </w:pPr>
      <w:hyperlink w:anchor="_Toc173414070" w:history="1">
        <w:r w:rsidR="009E5720" w:rsidRPr="00D57565">
          <w:rPr>
            <w:rStyle w:val="Hyperlink"/>
            <w:noProof/>
          </w:rPr>
          <w:t>2.</w:t>
        </w:r>
        <w:r w:rsidR="009E5720">
          <w:rPr>
            <w:rFonts w:eastAsiaTheme="minorEastAsia"/>
            <w:noProof/>
            <w:lang w:eastAsia="en-GB"/>
          </w:rPr>
          <w:tab/>
        </w:r>
        <w:r w:rsidR="009E5720" w:rsidRPr="00D57565">
          <w:rPr>
            <w:rStyle w:val="Hyperlink"/>
            <w:noProof/>
          </w:rPr>
          <w:t>Sale and purchase</w:t>
        </w:r>
        <w:r w:rsidR="009E5720">
          <w:rPr>
            <w:noProof/>
          </w:rPr>
          <w:tab/>
        </w:r>
        <w:r w:rsidR="009E5720">
          <w:rPr>
            <w:noProof/>
          </w:rPr>
          <w:fldChar w:fldCharType="begin"/>
        </w:r>
        <w:r w:rsidR="009E5720">
          <w:rPr>
            <w:noProof/>
          </w:rPr>
          <w:instrText xml:space="preserve"> PAGEREF _Toc173414070 \h </w:instrText>
        </w:r>
        <w:r w:rsidR="009E5720">
          <w:rPr>
            <w:noProof/>
          </w:rPr>
        </w:r>
        <w:r w:rsidR="009E5720">
          <w:rPr>
            <w:noProof/>
          </w:rPr>
          <w:fldChar w:fldCharType="separate"/>
        </w:r>
        <w:r w:rsidR="00896E84">
          <w:rPr>
            <w:noProof/>
          </w:rPr>
          <w:t>4</w:t>
        </w:r>
        <w:r w:rsidR="009E5720">
          <w:rPr>
            <w:noProof/>
          </w:rPr>
          <w:fldChar w:fldCharType="end"/>
        </w:r>
      </w:hyperlink>
    </w:p>
    <w:p w14:paraId="591BC221" w14:textId="7B6423C0" w:rsidR="009E5720" w:rsidRDefault="00D47D95">
      <w:pPr>
        <w:pStyle w:val="TOC1"/>
        <w:tabs>
          <w:tab w:val="left" w:pos="480"/>
          <w:tab w:val="right" w:leader="dot" w:pos="9350"/>
        </w:tabs>
        <w:rPr>
          <w:rFonts w:eastAsiaTheme="minorEastAsia"/>
          <w:noProof/>
          <w:lang w:eastAsia="en-GB"/>
        </w:rPr>
      </w:pPr>
      <w:hyperlink w:anchor="_Toc173414071" w:history="1">
        <w:r w:rsidR="009E5720" w:rsidRPr="00D57565">
          <w:rPr>
            <w:rStyle w:val="Hyperlink"/>
            <w:noProof/>
          </w:rPr>
          <w:t>3.</w:t>
        </w:r>
        <w:r w:rsidR="009E5720">
          <w:rPr>
            <w:rFonts w:eastAsiaTheme="minorEastAsia"/>
            <w:noProof/>
            <w:lang w:eastAsia="en-GB"/>
          </w:rPr>
          <w:tab/>
        </w:r>
        <w:r w:rsidR="009E5720" w:rsidRPr="00D57565">
          <w:rPr>
            <w:rStyle w:val="Hyperlink"/>
            <w:noProof/>
          </w:rPr>
          <w:t>Conditions</w:t>
        </w:r>
        <w:r w:rsidR="009E5720">
          <w:rPr>
            <w:noProof/>
          </w:rPr>
          <w:tab/>
        </w:r>
        <w:r w:rsidR="009E5720">
          <w:rPr>
            <w:noProof/>
          </w:rPr>
          <w:fldChar w:fldCharType="begin"/>
        </w:r>
        <w:r w:rsidR="009E5720">
          <w:rPr>
            <w:noProof/>
          </w:rPr>
          <w:instrText xml:space="preserve"> PAGEREF _Toc173414071 \h </w:instrText>
        </w:r>
        <w:r w:rsidR="009E5720">
          <w:rPr>
            <w:noProof/>
          </w:rPr>
        </w:r>
        <w:r w:rsidR="009E5720">
          <w:rPr>
            <w:noProof/>
          </w:rPr>
          <w:fldChar w:fldCharType="separate"/>
        </w:r>
        <w:r w:rsidR="00896E84">
          <w:rPr>
            <w:noProof/>
          </w:rPr>
          <w:t>4</w:t>
        </w:r>
        <w:r w:rsidR="009E5720">
          <w:rPr>
            <w:noProof/>
          </w:rPr>
          <w:fldChar w:fldCharType="end"/>
        </w:r>
      </w:hyperlink>
    </w:p>
    <w:p w14:paraId="18F348C1" w14:textId="19462C10" w:rsidR="009E5720" w:rsidRDefault="00D47D95">
      <w:pPr>
        <w:pStyle w:val="TOC1"/>
        <w:tabs>
          <w:tab w:val="left" w:pos="480"/>
          <w:tab w:val="right" w:leader="dot" w:pos="9350"/>
        </w:tabs>
        <w:rPr>
          <w:rFonts w:eastAsiaTheme="minorEastAsia"/>
          <w:noProof/>
          <w:lang w:eastAsia="en-GB"/>
        </w:rPr>
      </w:pPr>
      <w:hyperlink w:anchor="_Toc173414072" w:history="1">
        <w:r w:rsidR="009E5720" w:rsidRPr="00D57565">
          <w:rPr>
            <w:rStyle w:val="Hyperlink"/>
            <w:noProof/>
          </w:rPr>
          <w:t>4.</w:t>
        </w:r>
        <w:r w:rsidR="009E5720">
          <w:rPr>
            <w:rFonts w:eastAsiaTheme="minorEastAsia"/>
            <w:noProof/>
            <w:lang w:eastAsia="en-GB"/>
          </w:rPr>
          <w:tab/>
        </w:r>
        <w:r w:rsidR="009E5720" w:rsidRPr="00D57565">
          <w:rPr>
            <w:rStyle w:val="Hyperlink"/>
            <w:noProof/>
          </w:rPr>
          <w:t>Risk and insurance</w:t>
        </w:r>
        <w:r w:rsidR="009E5720">
          <w:rPr>
            <w:noProof/>
          </w:rPr>
          <w:tab/>
        </w:r>
        <w:r w:rsidR="009E5720">
          <w:rPr>
            <w:noProof/>
          </w:rPr>
          <w:fldChar w:fldCharType="begin"/>
        </w:r>
        <w:r w:rsidR="009E5720">
          <w:rPr>
            <w:noProof/>
          </w:rPr>
          <w:instrText xml:space="preserve"> PAGEREF _Toc173414072 \h </w:instrText>
        </w:r>
        <w:r w:rsidR="009E5720">
          <w:rPr>
            <w:noProof/>
          </w:rPr>
        </w:r>
        <w:r w:rsidR="009E5720">
          <w:rPr>
            <w:noProof/>
          </w:rPr>
          <w:fldChar w:fldCharType="separate"/>
        </w:r>
        <w:r w:rsidR="00896E84">
          <w:rPr>
            <w:noProof/>
          </w:rPr>
          <w:t>5</w:t>
        </w:r>
        <w:r w:rsidR="009E5720">
          <w:rPr>
            <w:noProof/>
          </w:rPr>
          <w:fldChar w:fldCharType="end"/>
        </w:r>
      </w:hyperlink>
    </w:p>
    <w:p w14:paraId="483AC2A5" w14:textId="293A59E8" w:rsidR="009E5720" w:rsidRDefault="00D47D95">
      <w:pPr>
        <w:pStyle w:val="TOC1"/>
        <w:tabs>
          <w:tab w:val="left" w:pos="480"/>
          <w:tab w:val="right" w:leader="dot" w:pos="9350"/>
        </w:tabs>
        <w:rPr>
          <w:rFonts w:eastAsiaTheme="minorEastAsia"/>
          <w:noProof/>
          <w:lang w:eastAsia="en-GB"/>
        </w:rPr>
      </w:pPr>
      <w:hyperlink w:anchor="_Toc173414073" w:history="1">
        <w:r w:rsidR="009E5720" w:rsidRPr="00D57565">
          <w:rPr>
            <w:rStyle w:val="Hyperlink"/>
            <w:noProof/>
          </w:rPr>
          <w:t>5.</w:t>
        </w:r>
        <w:r w:rsidR="009E5720">
          <w:rPr>
            <w:rFonts w:eastAsiaTheme="minorEastAsia"/>
            <w:noProof/>
            <w:lang w:eastAsia="en-GB"/>
          </w:rPr>
          <w:tab/>
        </w:r>
        <w:r w:rsidR="009E5720" w:rsidRPr="00D57565">
          <w:rPr>
            <w:rStyle w:val="Hyperlink"/>
            <w:noProof/>
          </w:rPr>
          <w:t>Deposit</w:t>
        </w:r>
        <w:r w:rsidR="009E5720">
          <w:rPr>
            <w:noProof/>
          </w:rPr>
          <w:tab/>
        </w:r>
        <w:r w:rsidR="009E5720">
          <w:rPr>
            <w:noProof/>
          </w:rPr>
          <w:fldChar w:fldCharType="begin"/>
        </w:r>
        <w:r w:rsidR="009E5720">
          <w:rPr>
            <w:noProof/>
          </w:rPr>
          <w:instrText xml:space="preserve"> PAGEREF _Toc173414073 \h </w:instrText>
        </w:r>
        <w:r w:rsidR="009E5720">
          <w:rPr>
            <w:noProof/>
          </w:rPr>
        </w:r>
        <w:r w:rsidR="009E5720">
          <w:rPr>
            <w:noProof/>
          </w:rPr>
          <w:fldChar w:fldCharType="separate"/>
        </w:r>
        <w:r w:rsidR="00896E84">
          <w:rPr>
            <w:noProof/>
          </w:rPr>
          <w:t>5</w:t>
        </w:r>
        <w:r w:rsidR="009E5720">
          <w:rPr>
            <w:noProof/>
          </w:rPr>
          <w:fldChar w:fldCharType="end"/>
        </w:r>
      </w:hyperlink>
    </w:p>
    <w:p w14:paraId="114A0611" w14:textId="66485E94" w:rsidR="009E5720" w:rsidRDefault="00D47D95">
      <w:pPr>
        <w:pStyle w:val="TOC1"/>
        <w:tabs>
          <w:tab w:val="left" w:pos="480"/>
          <w:tab w:val="right" w:leader="dot" w:pos="9350"/>
        </w:tabs>
        <w:rPr>
          <w:rFonts w:eastAsiaTheme="minorEastAsia"/>
          <w:noProof/>
          <w:lang w:eastAsia="en-GB"/>
        </w:rPr>
      </w:pPr>
      <w:hyperlink w:anchor="_Toc173414074" w:history="1">
        <w:r w:rsidR="009E5720" w:rsidRPr="00D57565">
          <w:rPr>
            <w:rStyle w:val="Hyperlink"/>
            <w:noProof/>
          </w:rPr>
          <w:t>6.</w:t>
        </w:r>
        <w:r w:rsidR="009E5720">
          <w:rPr>
            <w:rFonts w:eastAsiaTheme="minorEastAsia"/>
            <w:noProof/>
            <w:lang w:eastAsia="en-GB"/>
          </w:rPr>
          <w:tab/>
        </w:r>
        <w:r w:rsidR="009E5720" w:rsidRPr="00D57565">
          <w:rPr>
            <w:rStyle w:val="Hyperlink"/>
            <w:noProof/>
          </w:rPr>
          <w:t>Deducing title</w:t>
        </w:r>
        <w:r w:rsidR="009E5720">
          <w:rPr>
            <w:noProof/>
          </w:rPr>
          <w:tab/>
        </w:r>
        <w:r w:rsidR="009E5720">
          <w:rPr>
            <w:noProof/>
          </w:rPr>
          <w:fldChar w:fldCharType="begin"/>
        </w:r>
        <w:r w:rsidR="009E5720">
          <w:rPr>
            <w:noProof/>
          </w:rPr>
          <w:instrText xml:space="preserve"> PAGEREF _Toc173414074 \h </w:instrText>
        </w:r>
        <w:r w:rsidR="009E5720">
          <w:rPr>
            <w:noProof/>
          </w:rPr>
        </w:r>
        <w:r w:rsidR="009E5720">
          <w:rPr>
            <w:noProof/>
          </w:rPr>
          <w:fldChar w:fldCharType="separate"/>
        </w:r>
        <w:r w:rsidR="00896E84">
          <w:rPr>
            <w:noProof/>
          </w:rPr>
          <w:t>6</w:t>
        </w:r>
        <w:r w:rsidR="009E5720">
          <w:rPr>
            <w:noProof/>
          </w:rPr>
          <w:fldChar w:fldCharType="end"/>
        </w:r>
      </w:hyperlink>
    </w:p>
    <w:p w14:paraId="5FD770A6" w14:textId="0B24A232" w:rsidR="009E5720" w:rsidRDefault="00D47D95">
      <w:pPr>
        <w:pStyle w:val="TOC1"/>
        <w:tabs>
          <w:tab w:val="left" w:pos="480"/>
          <w:tab w:val="right" w:leader="dot" w:pos="9350"/>
        </w:tabs>
        <w:rPr>
          <w:rFonts w:eastAsiaTheme="minorEastAsia"/>
          <w:noProof/>
          <w:lang w:eastAsia="en-GB"/>
        </w:rPr>
      </w:pPr>
      <w:hyperlink w:anchor="_Toc173414075" w:history="1">
        <w:r w:rsidR="009E5720" w:rsidRPr="00D57565">
          <w:rPr>
            <w:rStyle w:val="Hyperlink"/>
            <w:noProof/>
          </w:rPr>
          <w:t>7.</w:t>
        </w:r>
        <w:r w:rsidR="009E5720">
          <w:rPr>
            <w:rFonts w:eastAsiaTheme="minorEastAsia"/>
            <w:noProof/>
            <w:lang w:eastAsia="en-GB"/>
          </w:rPr>
          <w:tab/>
        </w:r>
        <w:r w:rsidR="009E5720" w:rsidRPr="00D57565">
          <w:rPr>
            <w:rStyle w:val="Hyperlink"/>
            <w:noProof/>
          </w:rPr>
          <w:t>Vacant possession</w:t>
        </w:r>
        <w:r w:rsidR="009E5720">
          <w:rPr>
            <w:noProof/>
          </w:rPr>
          <w:tab/>
        </w:r>
        <w:r w:rsidR="009E5720">
          <w:rPr>
            <w:noProof/>
          </w:rPr>
          <w:fldChar w:fldCharType="begin"/>
        </w:r>
        <w:r w:rsidR="009E5720">
          <w:rPr>
            <w:noProof/>
          </w:rPr>
          <w:instrText xml:space="preserve"> PAGEREF _Toc173414075 \h </w:instrText>
        </w:r>
        <w:r w:rsidR="009E5720">
          <w:rPr>
            <w:noProof/>
          </w:rPr>
        </w:r>
        <w:r w:rsidR="009E5720">
          <w:rPr>
            <w:noProof/>
          </w:rPr>
          <w:fldChar w:fldCharType="separate"/>
        </w:r>
        <w:r w:rsidR="00896E84">
          <w:rPr>
            <w:noProof/>
          </w:rPr>
          <w:t>6</w:t>
        </w:r>
        <w:r w:rsidR="009E5720">
          <w:rPr>
            <w:noProof/>
          </w:rPr>
          <w:fldChar w:fldCharType="end"/>
        </w:r>
      </w:hyperlink>
    </w:p>
    <w:p w14:paraId="67096C2A" w14:textId="1AA589AD" w:rsidR="009E5720" w:rsidRDefault="00D47D95">
      <w:pPr>
        <w:pStyle w:val="TOC1"/>
        <w:tabs>
          <w:tab w:val="left" w:pos="480"/>
          <w:tab w:val="right" w:leader="dot" w:pos="9350"/>
        </w:tabs>
        <w:rPr>
          <w:rFonts w:eastAsiaTheme="minorEastAsia"/>
          <w:noProof/>
          <w:lang w:eastAsia="en-GB"/>
        </w:rPr>
      </w:pPr>
      <w:hyperlink w:anchor="_Toc173414076" w:history="1">
        <w:r w:rsidR="009E5720" w:rsidRPr="00D57565">
          <w:rPr>
            <w:rStyle w:val="Hyperlink"/>
            <w:noProof/>
          </w:rPr>
          <w:t>8.</w:t>
        </w:r>
        <w:r w:rsidR="009E5720">
          <w:rPr>
            <w:rFonts w:eastAsiaTheme="minorEastAsia"/>
            <w:noProof/>
            <w:lang w:eastAsia="en-GB"/>
          </w:rPr>
          <w:tab/>
        </w:r>
        <w:r w:rsidR="009E5720" w:rsidRPr="00D57565">
          <w:rPr>
            <w:rStyle w:val="Hyperlink"/>
            <w:noProof/>
          </w:rPr>
          <w:t>Title guarantee</w:t>
        </w:r>
        <w:r w:rsidR="009E5720">
          <w:rPr>
            <w:noProof/>
          </w:rPr>
          <w:tab/>
        </w:r>
        <w:r w:rsidR="009E5720">
          <w:rPr>
            <w:noProof/>
          </w:rPr>
          <w:fldChar w:fldCharType="begin"/>
        </w:r>
        <w:r w:rsidR="009E5720">
          <w:rPr>
            <w:noProof/>
          </w:rPr>
          <w:instrText xml:space="preserve"> PAGEREF _Toc173414076 \h </w:instrText>
        </w:r>
        <w:r w:rsidR="009E5720">
          <w:rPr>
            <w:noProof/>
          </w:rPr>
        </w:r>
        <w:r w:rsidR="009E5720">
          <w:rPr>
            <w:noProof/>
          </w:rPr>
          <w:fldChar w:fldCharType="separate"/>
        </w:r>
        <w:r w:rsidR="00896E84">
          <w:rPr>
            <w:noProof/>
          </w:rPr>
          <w:t>6</w:t>
        </w:r>
        <w:r w:rsidR="009E5720">
          <w:rPr>
            <w:noProof/>
          </w:rPr>
          <w:fldChar w:fldCharType="end"/>
        </w:r>
      </w:hyperlink>
    </w:p>
    <w:p w14:paraId="6F877B9E" w14:textId="0ED7CD8E" w:rsidR="009E5720" w:rsidRDefault="00D47D95">
      <w:pPr>
        <w:pStyle w:val="TOC1"/>
        <w:tabs>
          <w:tab w:val="left" w:pos="480"/>
          <w:tab w:val="right" w:leader="dot" w:pos="9350"/>
        </w:tabs>
        <w:rPr>
          <w:rFonts w:eastAsiaTheme="minorEastAsia"/>
          <w:noProof/>
          <w:lang w:eastAsia="en-GB"/>
        </w:rPr>
      </w:pPr>
      <w:hyperlink w:anchor="_Toc173414077" w:history="1">
        <w:r w:rsidR="009E5720" w:rsidRPr="00D57565">
          <w:rPr>
            <w:rStyle w:val="Hyperlink"/>
            <w:noProof/>
          </w:rPr>
          <w:t>9.</w:t>
        </w:r>
        <w:r w:rsidR="009E5720">
          <w:rPr>
            <w:rFonts w:eastAsiaTheme="minorEastAsia"/>
            <w:noProof/>
            <w:lang w:eastAsia="en-GB"/>
          </w:rPr>
          <w:tab/>
        </w:r>
        <w:r w:rsidR="009E5720" w:rsidRPr="00D57565">
          <w:rPr>
            <w:rStyle w:val="Hyperlink"/>
            <w:noProof/>
          </w:rPr>
          <w:t>Matters affecting the Property</w:t>
        </w:r>
        <w:r w:rsidR="009E5720">
          <w:rPr>
            <w:noProof/>
          </w:rPr>
          <w:tab/>
        </w:r>
        <w:r w:rsidR="009E5720">
          <w:rPr>
            <w:noProof/>
          </w:rPr>
          <w:fldChar w:fldCharType="begin"/>
        </w:r>
        <w:r w:rsidR="009E5720">
          <w:rPr>
            <w:noProof/>
          </w:rPr>
          <w:instrText xml:space="preserve"> PAGEREF _Toc173414077 \h </w:instrText>
        </w:r>
        <w:r w:rsidR="009E5720">
          <w:rPr>
            <w:noProof/>
          </w:rPr>
        </w:r>
        <w:r w:rsidR="009E5720">
          <w:rPr>
            <w:noProof/>
          </w:rPr>
          <w:fldChar w:fldCharType="separate"/>
        </w:r>
        <w:r w:rsidR="00896E84">
          <w:rPr>
            <w:noProof/>
          </w:rPr>
          <w:t>6</w:t>
        </w:r>
        <w:r w:rsidR="009E5720">
          <w:rPr>
            <w:noProof/>
          </w:rPr>
          <w:fldChar w:fldCharType="end"/>
        </w:r>
      </w:hyperlink>
    </w:p>
    <w:p w14:paraId="3B9E5FF9" w14:textId="6D670782" w:rsidR="009E5720" w:rsidRDefault="00D47D95">
      <w:pPr>
        <w:pStyle w:val="TOC1"/>
        <w:tabs>
          <w:tab w:val="left" w:pos="720"/>
          <w:tab w:val="right" w:leader="dot" w:pos="9350"/>
        </w:tabs>
        <w:rPr>
          <w:rFonts w:eastAsiaTheme="minorEastAsia"/>
          <w:noProof/>
          <w:lang w:eastAsia="en-GB"/>
        </w:rPr>
      </w:pPr>
      <w:hyperlink w:anchor="_Toc173414078" w:history="1">
        <w:r w:rsidR="009E5720" w:rsidRPr="00D57565">
          <w:rPr>
            <w:rStyle w:val="Hyperlink"/>
            <w:noProof/>
          </w:rPr>
          <w:t>10.</w:t>
        </w:r>
        <w:r w:rsidR="009E5720">
          <w:rPr>
            <w:rFonts w:eastAsiaTheme="minorEastAsia"/>
            <w:noProof/>
            <w:lang w:eastAsia="en-GB"/>
          </w:rPr>
          <w:tab/>
        </w:r>
        <w:r w:rsidR="009E5720" w:rsidRPr="00D57565">
          <w:rPr>
            <w:rStyle w:val="Hyperlink"/>
            <w:noProof/>
          </w:rPr>
          <w:t>Transfer</w:t>
        </w:r>
        <w:r w:rsidR="009E5720">
          <w:rPr>
            <w:noProof/>
          </w:rPr>
          <w:tab/>
        </w:r>
        <w:r w:rsidR="009E5720">
          <w:rPr>
            <w:noProof/>
          </w:rPr>
          <w:fldChar w:fldCharType="begin"/>
        </w:r>
        <w:r w:rsidR="009E5720">
          <w:rPr>
            <w:noProof/>
          </w:rPr>
          <w:instrText xml:space="preserve"> PAGEREF _Toc173414078 \h </w:instrText>
        </w:r>
        <w:r w:rsidR="009E5720">
          <w:rPr>
            <w:noProof/>
          </w:rPr>
        </w:r>
        <w:r w:rsidR="009E5720">
          <w:rPr>
            <w:noProof/>
          </w:rPr>
          <w:fldChar w:fldCharType="separate"/>
        </w:r>
        <w:r w:rsidR="00896E84">
          <w:rPr>
            <w:noProof/>
          </w:rPr>
          <w:t>7</w:t>
        </w:r>
        <w:r w:rsidR="009E5720">
          <w:rPr>
            <w:noProof/>
          </w:rPr>
          <w:fldChar w:fldCharType="end"/>
        </w:r>
      </w:hyperlink>
    </w:p>
    <w:p w14:paraId="45D4ABCC" w14:textId="771BDD0D" w:rsidR="009E5720" w:rsidRDefault="00D47D95">
      <w:pPr>
        <w:pStyle w:val="TOC1"/>
        <w:tabs>
          <w:tab w:val="left" w:pos="720"/>
          <w:tab w:val="right" w:leader="dot" w:pos="9350"/>
        </w:tabs>
        <w:rPr>
          <w:rFonts w:eastAsiaTheme="minorEastAsia"/>
          <w:noProof/>
          <w:lang w:eastAsia="en-GB"/>
        </w:rPr>
      </w:pPr>
      <w:hyperlink w:anchor="_Toc173414079" w:history="1">
        <w:r w:rsidR="009E5720" w:rsidRPr="00D57565">
          <w:rPr>
            <w:rStyle w:val="Hyperlink"/>
            <w:noProof/>
          </w:rPr>
          <w:t>11.</w:t>
        </w:r>
        <w:r w:rsidR="009E5720">
          <w:rPr>
            <w:rFonts w:eastAsiaTheme="minorEastAsia"/>
            <w:noProof/>
            <w:lang w:eastAsia="en-GB"/>
          </w:rPr>
          <w:tab/>
        </w:r>
        <w:r w:rsidR="009E5720" w:rsidRPr="00D57565">
          <w:rPr>
            <w:rStyle w:val="Hyperlink"/>
            <w:noProof/>
          </w:rPr>
          <w:t>VAT</w:t>
        </w:r>
        <w:r w:rsidR="009E5720">
          <w:rPr>
            <w:noProof/>
          </w:rPr>
          <w:tab/>
        </w:r>
        <w:r w:rsidR="009E5720">
          <w:rPr>
            <w:noProof/>
          </w:rPr>
          <w:fldChar w:fldCharType="begin"/>
        </w:r>
        <w:r w:rsidR="009E5720">
          <w:rPr>
            <w:noProof/>
          </w:rPr>
          <w:instrText xml:space="preserve"> PAGEREF _Toc173414079 \h </w:instrText>
        </w:r>
        <w:r w:rsidR="009E5720">
          <w:rPr>
            <w:noProof/>
          </w:rPr>
        </w:r>
        <w:r w:rsidR="009E5720">
          <w:rPr>
            <w:noProof/>
          </w:rPr>
          <w:fldChar w:fldCharType="separate"/>
        </w:r>
        <w:r w:rsidR="00896E84">
          <w:rPr>
            <w:noProof/>
          </w:rPr>
          <w:t>8</w:t>
        </w:r>
        <w:r w:rsidR="009E5720">
          <w:rPr>
            <w:noProof/>
          </w:rPr>
          <w:fldChar w:fldCharType="end"/>
        </w:r>
      </w:hyperlink>
    </w:p>
    <w:p w14:paraId="0ACF90DF" w14:textId="228DD9AC" w:rsidR="009E5720" w:rsidRDefault="00D47D95">
      <w:pPr>
        <w:pStyle w:val="TOC1"/>
        <w:tabs>
          <w:tab w:val="left" w:pos="720"/>
          <w:tab w:val="right" w:leader="dot" w:pos="9350"/>
        </w:tabs>
        <w:rPr>
          <w:rFonts w:eastAsiaTheme="minorEastAsia"/>
          <w:noProof/>
          <w:lang w:eastAsia="en-GB"/>
        </w:rPr>
      </w:pPr>
      <w:hyperlink w:anchor="_Toc173414080" w:history="1">
        <w:r w:rsidR="009E5720" w:rsidRPr="00D57565">
          <w:rPr>
            <w:rStyle w:val="Hyperlink"/>
            <w:noProof/>
          </w:rPr>
          <w:t>12.</w:t>
        </w:r>
        <w:r w:rsidR="009E5720">
          <w:rPr>
            <w:rFonts w:eastAsiaTheme="minorEastAsia"/>
            <w:noProof/>
            <w:lang w:eastAsia="en-GB"/>
          </w:rPr>
          <w:tab/>
        </w:r>
        <w:r w:rsidR="009E5720" w:rsidRPr="00D57565">
          <w:rPr>
            <w:rStyle w:val="Hyperlink"/>
            <w:noProof/>
          </w:rPr>
          <w:t>Completion</w:t>
        </w:r>
        <w:r w:rsidR="009E5720">
          <w:rPr>
            <w:noProof/>
          </w:rPr>
          <w:tab/>
        </w:r>
        <w:r w:rsidR="009E5720">
          <w:rPr>
            <w:noProof/>
          </w:rPr>
          <w:fldChar w:fldCharType="begin"/>
        </w:r>
        <w:r w:rsidR="009E5720">
          <w:rPr>
            <w:noProof/>
          </w:rPr>
          <w:instrText xml:space="preserve"> PAGEREF _Toc173414080 \h </w:instrText>
        </w:r>
        <w:r w:rsidR="009E5720">
          <w:rPr>
            <w:noProof/>
          </w:rPr>
        </w:r>
        <w:r w:rsidR="009E5720">
          <w:rPr>
            <w:noProof/>
          </w:rPr>
          <w:fldChar w:fldCharType="separate"/>
        </w:r>
        <w:r w:rsidR="00896E84">
          <w:rPr>
            <w:noProof/>
          </w:rPr>
          <w:t>8</w:t>
        </w:r>
        <w:r w:rsidR="009E5720">
          <w:rPr>
            <w:noProof/>
          </w:rPr>
          <w:fldChar w:fldCharType="end"/>
        </w:r>
      </w:hyperlink>
    </w:p>
    <w:p w14:paraId="57F573BB" w14:textId="6FBEBBA7" w:rsidR="009E5720" w:rsidRDefault="00D47D95">
      <w:pPr>
        <w:pStyle w:val="TOC1"/>
        <w:tabs>
          <w:tab w:val="left" w:pos="720"/>
          <w:tab w:val="right" w:leader="dot" w:pos="9350"/>
        </w:tabs>
        <w:rPr>
          <w:rFonts w:eastAsiaTheme="minorEastAsia"/>
          <w:noProof/>
          <w:lang w:eastAsia="en-GB"/>
        </w:rPr>
      </w:pPr>
      <w:hyperlink w:anchor="_Toc173414081" w:history="1">
        <w:r w:rsidR="009E5720" w:rsidRPr="00D57565">
          <w:rPr>
            <w:rStyle w:val="Hyperlink"/>
            <w:noProof/>
          </w:rPr>
          <w:t>13.</w:t>
        </w:r>
        <w:r w:rsidR="009E5720">
          <w:rPr>
            <w:rFonts w:eastAsiaTheme="minorEastAsia"/>
            <w:noProof/>
            <w:lang w:eastAsia="en-GB"/>
          </w:rPr>
          <w:tab/>
        </w:r>
        <w:r w:rsidR="009E5720" w:rsidRPr="00D57565">
          <w:rPr>
            <w:rStyle w:val="Hyperlink"/>
            <w:noProof/>
          </w:rPr>
          <w:t>Buyer's acknowledgement of condition</w:t>
        </w:r>
        <w:r w:rsidR="009E5720">
          <w:rPr>
            <w:noProof/>
          </w:rPr>
          <w:tab/>
        </w:r>
        <w:r w:rsidR="009E5720">
          <w:rPr>
            <w:noProof/>
          </w:rPr>
          <w:fldChar w:fldCharType="begin"/>
        </w:r>
        <w:r w:rsidR="009E5720">
          <w:rPr>
            <w:noProof/>
          </w:rPr>
          <w:instrText xml:space="preserve"> PAGEREF _Toc173414081 \h </w:instrText>
        </w:r>
        <w:r w:rsidR="009E5720">
          <w:rPr>
            <w:noProof/>
          </w:rPr>
        </w:r>
        <w:r w:rsidR="009E5720">
          <w:rPr>
            <w:noProof/>
          </w:rPr>
          <w:fldChar w:fldCharType="separate"/>
        </w:r>
        <w:r w:rsidR="00896E84">
          <w:rPr>
            <w:noProof/>
          </w:rPr>
          <w:t>8</w:t>
        </w:r>
        <w:r w:rsidR="009E5720">
          <w:rPr>
            <w:noProof/>
          </w:rPr>
          <w:fldChar w:fldCharType="end"/>
        </w:r>
      </w:hyperlink>
    </w:p>
    <w:p w14:paraId="7E65BA07" w14:textId="2B6AE386" w:rsidR="009E5720" w:rsidRDefault="00D47D95">
      <w:pPr>
        <w:pStyle w:val="TOC1"/>
        <w:tabs>
          <w:tab w:val="left" w:pos="720"/>
          <w:tab w:val="right" w:leader="dot" w:pos="9350"/>
        </w:tabs>
        <w:rPr>
          <w:rFonts w:eastAsiaTheme="minorEastAsia"/>
          <w:noProof/>
          <w:lang w:eastAsia="en-GB"/>
        </w:rPr>
      </w:pPr>
      <w:hyperlink w:anchor="_Toc173414082" w:history="1">
        <w:r w:rsidR="009E5720" w:rsidRPr="00D57565">
          <w:rPr>
            <w:rStyle w:val="Hyperlink"/>
            <w:noProof/>
          </w:rPr>
          <w:t>14.</w:t>
        </w:r>
        <w:r w:rsidR="009E5720">
          <w:rPr>
            <w:rFonts w:eastAsiaTheme="minorEastAsia"/>
            <w:noProof/>
            <w:lang w:eastAsia="en-GB"/>
          </w:rPr>
          <w:tab/>
        </w:r>
        <w:r w:rsidR="009E5720" w:rsidRPr="00D57565">
          <w:rPr>
            <w:rStyle w:val="Hyperlink"/>
            <w:noProof/>
          </w:rPr>
          <w:t>Delinked payments</w:t>
        </w:r>
        <w:r w:rsidR="009E5720">
          <w:rPr>
            <w:noProof/>
          </w:rPr>
          <w:tab/>
        </w:r>
        <w:r w:rsidR="009E5720">
          <w:rPr>
            <w:noProof/>
          </w:rPr>
          <w:fldChar w:fldCharType="begin"/>
        </w:r>
        <w:r w:rsidR="009E5720">
          <w:rPr>
            <w:noProof/>
          </w:rPr>
          <w:instrText xml:space="preserve"> PAGEREF _Toc173414082 \h </w:instrText>
        </w:r>
        <w:r w:rsidR="009E5720">
          <w:rPr>
            <w:noProof/>
          </w:rPr>
        </w:r>
        <w:r w:rsidR="009E5720">
          <w:rPr>
            <w:noProof/>
          </w:rPr>
          <w:fldChar w:fldCharType="separate"/>
        </w:r>
        <w:r w:rsidR="00896E84">
          <w:rPr>
            <w:noProof/>
          </w:rPr>
          <w:t>9</w:t>
        </w:r>
        <w:r w:rsidR="009E5720">
          <w:rPr>
            <w:noProof/>
          </w:rPr>
          <w:fldChar w:fldCharType="end"/>
        </w:r>
      </w:hyperlink>
    </w:p>
    <w:p w14:paraId="1F9E8A5E" w14:textId="344546A4" w:rsidR="009E5720" w:rsidRDefault="00D47D95">
      <w:pPr>
        <w:pStyle w:val="TOC1"/>
        <w:tabs>
          <w:tab w:val="left" w:pos="720"/>
          <w:tab w:val="right" w:leader="dot" w:pos="9350"/>
        </w:tabs>
        <w:rPr>
          <w:rFonts w:eastAsiaTheme="minorEastAsia"/>
          <w:noProof/>
          <w:lang w:eastAsia="en-GB"/>
        </w:rPr>
      </w:pPr>
      <w:hyperlink w:anchor="_Toc173414083" w:history="1">
        <w:r w:rsidR="009E5720" w:rsidRPr="00D57565">
          <w:rPr>
            <w:rStyle w:val="Hyperlink"/>
            <w:noProof/>
          </w:rPr>
          <w:t>15.</w:t>
        </w:r>
        <w:r w:rsidR="009E5720">
          <w:rPr>
            <w:rFonts w:eastAsiaTheme="minorEastAsia"/>
            <w:noProof/>
            <w:lang w:eastAsia="en-GB"/>
          </w:rPr>
          <w:tab/>
        </w:r>
        <w:r w:rsidR="009E5720" w:rsidRPr="00D57565">
          <w:rPr>
            <w:rStyle w:val="Hyperlink"/>
            <w:noProof/>
          </w:rPr>
          <w:t>Entire agreement</w:t>
        </w:r>
        <w:r w:rsidR="009E5720">
          <w:rPr>
            <w:noProof/>
          </w:rPr>
          <w:tab/>
        </w:r>
        <w:r w:rsidR="009E5720">
          <w:rPr>
            <w:noProof/>
          </w:rPr>
          <w:fldChar w:fldCharType="begin"/>
        </w:r>
        <w:r w:rsidR="009E5720">
          <w:rPr>
            <w:noProof/>
          </w:rPr>
          <w:instrText xml:space="preserve"> PAGEREF _Toc173414083 \h </w:instrText>
        </w:r>
        <w:r w:rsidR="009E5720">
          <w:rPr>
            <w:noProof/>
          </w:rPr>
        </w:r>
        <w:r w:rsidR="009E5720">
          <w:rPr>
            <w:noProof/>
          </w:rPr>
          <w:fldChar w:fldCharType="separate"/>
        </w:r>
        <w:r w:rsidR="00896E84">
          <w:rPr>
            <w:noProof/>
          </w:rPr>
          <w:t>9</w:t>
        </w:r>
        <w:r w:rsidR="009E5720">
          <w:rPr>
            <w:noProof/>
          </w:rPr>
          <w:fldChar w:fldCharType="end"/>
        </w:r>
      </w:hyperlink>
    </w:p>
    <w:p w14:paraId="202EFA50" w14:textId="702BDB93" w:rsidR="009E5720" w:rsidRDefault="00D47D95">
      <w:pPr>
        <w:pStyle w:val="TOC1"/>
        <w:tabs>
          <w:tab w:val="left" w:pos="720"/>
          <w:tab w:val="right" w:leader="dot" w:pos="9350"/>
        </w:tabs>
        <w:rPr>
          <w:rFonts w:eastAsiaTheme="minorEastAsia"/>
          <w:noProof/>
          <w:lang w:eastAsia="en-GB"/>
        </w:rPr>
      </w:pPr>
      <w:hyperlink w:anchor="_Toc173414084" w:history="1">
        <w:r w:rsidR="009E5720" w:rsidRPr="00D57565">
          <w:rPr>
            <w:rStyle w:val="Hyperlink"/>
            <w:noProof/>
          </w:rPr>
          <w:t>16.</w:t>
        </w:r>
        <w:r w:rsidR="009E5720">
          <w:rPr>
            <w:rFonts w:eastAsiaTheme="minorEastAsia"/>
            <w:noProof/>
            <w:lang w:eastAsia="en-GB"/>
          </w:rPr>
          <w:tab/>
        </w:r>
        <w:r w:rsidR="009E5720" w:rsidRPr="00D57565">
          <w:rPr>
            <w:rStyle w:val="Hyperlink"/>
            <w:noProof/>
          </w:rPr>
          <w:t>Joint and several liability</w:t>
        </w:r>
        <w:r w:rsidR="009E5720">
          <w:rPr>
            <w:noProof/>
          </w:rPr>
          <w:tab/>
        </w:r>
        <w:r w:rsidR="009E5720">
          <w:rPr>
            <w:noProof/>
          </w:rPr>
          <w:fldChar w:fldCharType="begin"/>
        </w:r>
        <w:r w:rsidR="009E5720">
          <w:rPr>
            <w:noProof/>
          </w:rPr>
          <w:instrText xml:space="preserve"> PAGEREF _Toc173414084 \h </w:instrText>
        </w:r>
        <w:r w:rsidR="009E5720">
          <w:rPr>
            <w:noProof/>
          </w:rPr>
        </w:r>
        <w:r w:rsidR="009E5720">
          <w:rPr>
            <w:noProof/>
          </w:rPr>
          <w:fldChar w:fldCharType="separate"/>
        </w:r>
        <w:r w:rsidR="00896E84">
          <w:rPr>
            <w:noProof/>
          </w:rPr>
          <w:t>9</w:t>
        </w:r>
        <w:r w:rsidR="009E5720">
          <w:rPr>
            <w:noProof/>
          </w:rPr>
          <w:fldChar w:fldCharType="end"/>
        </w:r>
      </w:hyperlink>
    </w:p>
    <w:p w14:paraId="45459173" w14:textId="7E7EF2A9" w:rsidR="009E5720" w:rsidRDefault="00D47D95">
      <w:pPr>
        <w:pStyle w:val="TOC1"/>
        <w:tabs>
          <w:tab w:val="left" w:pos="720"/>
          <w:tab w:val="right" w:leader="dot" w:pos="9350"/>
        </w:tabs>
        <w:rPr>
          <w:rFonts w:eastAsiaTheme="minorEastAsia"/>
          <w:noProof/>
          <w:lang w:eastAsia="en-GB"/>
        </w:rPr>
      </w:pPr>
      <w:hyperlink w:anchor="_Toc173414085" w:history="1">
        <w:r w:rsidR="009E5720" w:rsidRPr="00D57565">
          <w:rPr>
            <w:rStyle w:val="Hyperlink"/>
            <w:noProof/>
          </w:rPr>
          <w:t>17.</w:t>
        </w:r>
        <w:r w:rsidR="009E5720">
          <w:rPr>
            <w:rFonts w:eastAsiaTheme="minorEastAsia"/>
            <w:noProof/>
            <w:lang w:eastAsia="en-GB"/>
          </w:rPr>
          <w:tab/>
        </w:r>
        <w:r w:rsidR="009E5720" w:rsidRPr="00D57565">
          <w:rPr>
            <w:rStyle w:val="Hyperlink"/>
            <w:noProof/>
          </w:rPr>
          <w:t>Notices</w:t>
        </w:r>
        <w:r w:rsidR="009E5720">
          <w:rPr>
            <w:noProof/>
          </w:rPr>
          <w:tab/>
        </w:r>
        <w:r w:rsidR="009E5720">
          <w:rPr>
            <w:noProof/>
          </w:rPr>
          <w:fldChar w:fldCharType="begin"/>
        </w:r>
        <w:r w:rsidR="009E5720">
          <w:rPr>
            <w:noProof/>
          </w:rPr>
          <w:instrText xml:space="preserve"> PAGEREF _Toc173414085 \h </w:instrText>
        </w:r>
        <w:r w:rsidR="009E5720">
          <w:rPr>
            <w:noProof/>
          </w:rPr>
        </w:r>
        <w:r w:rsidR="009E5720">
          <w:rPr>
            <w:noProof/>
          </w:rPr>
          <w:fldChar w:fldCharType="separate"/>
        </w:r>
        <w:r w:rsidR="00896E84">
          <w:rPr>
            <w:noProof/>
          </w:rPr>
          <w:t>9</w:t>
        </w:r>
        <w:r w:rsidR="009E5720">
          <w:rPr>
            <w:noProof/>
          </w:rPr>
          <w:fldChar w:fldCharType="end"/>
        </w:r>
      </w:hyperlink>
    </w:p>
    <w:p w14:paraId="18E9C012" w14:textId="40254EDA" w:rsidR="009E5720" w:rsidRDefault="00D47D95">
      <w:pPr>
        <w:pStyle w:val="TOC1"/>
        <w:tabs>
          <w:tab w:val="left" w:pos="720"/>
          <w:tab w:val="right" w:leader="dot" w:pos="9350"/>
        </w:tabs>
        <w:rPr>
          <w:rFonts w:eastAsiaTheme="minorEastAsia"/>
          <w:noProof/>
          <w:lang w:eastAsia="en-GB"/>
        </w:rPr>
      </w:pPr>
      <w:hyperlink w:anchor="_Toc173414086" w:history="1">
        <w:r w:rsidR="009E5720" w:rsidRPr="00D57565">
          <w:rPr>
            <w:rStyle w:val="Hyperlink"/>
            <w:noProof/>
          </w:rPr>
          <w:t>18.</w:t>
        </w:r>
        <w:r w:rsidR="009E5720">
          <w:rPr>
            <w:rFonts w:eastAsiaTheme="minorEastAsia"/>
            <w:noProof/>
            <w:lang w:eastAsia="en-GB"/>
          </w:rPr>
          <w:tab/>
        </w:r>
        <w:r w:rsidR="009E5720" w:rsidRPr="00D57565">
          <w:rPr>
            <w:rStyle w:val="Hyperlink"/>
            <w:noProof/>
          </w:rPr>
          <w:t>Third party rights</w:t>
        </w:r>
        <w:r w:rsidR="009E5720">
          <w:rPr>
            <w:noProof/>
          </w:rPr>
          <w:tab/>
        </w:r>
        <w:r w:rsidR="009E5720">
          <w:rPr>
            <w:noProof/>
          </w:rPr>
          <w:fldChar w:fldCharType="begin"/>
        </w:r>
        <w:r w:rsidR="009E5720">
          <w:rPr>
            <w:noProof/>
          </w:rPr>
          <w:instrText xml:space="preserve"> PAGEREF _Toc173414086 \h </w:instrText>
        </w:r>
        <w:r w:rsidR="009E5720">
          <w:rPr>
            <w:noProof/>
          </w:rPr>
        </w:r>
        <w:r w:rsidR="009E5720">
          <w:rPr>
            <w:noProof/>
          </w:rPr>
          <w:fldChar w:fldCharType="separate"/>
        </w:r>
        <w:r w:rsidR="00896E84">
          <w:rPr>
            <w:noProof/>
          </w:rPr>
          <w:t>11</w:t>
        </w:r>
        <w:r w:rsidR="009E5720">
          <w:rPr>
            <w:noProof/>
          </w:rPr>
          <w:fldChar w:fldCharType="end"/>
        </w:r>
      </w:hyperlink>
    </w:p>
    <w:p w14:paraId="5A7A3D77" w14:textId="5324FD3F" w:rsidR="009E5720" w:rsidRDefault="00D47D95">
      <w:pPr>
        <w:pStyle w:val="TOC1"/>
        <w:tabs>
          <w:tab w:val="left" w:pos="720"/>
          <w:tab w:val="right" w:leader="dot" w:pos="9350"/>
        </w:tabs>
        <w:rPr>
          <w:rFonts w:eastAsiaTheme="minorEastAsia"/>
          <w:noProof/>
          <w:lang w:eastAsia="en-GB"/>
        </w:rPr>
      </w:pPr>
      <w:hyperlink w:anchor="_Toc173414087" w:history="1">
        <w:r w:rsidR="009E5720" w:rsidRPr="00D57565">
          <w:rPr>
            <w:rStyle w:val="Hyperlink"/>
            <w:noProof/>
          </w:rPr>
          <w:t>19.</w:t>
        </w:r>
        <w:r w:rsidR="009E5720">
          <w:rPr>
            <w:rFonts w:eastAsiaTheme="minorEastAsia"/>
            <w:noProof/>
            <w:lang w:eastAsia="en-GB"/>
          </w:rPr>
          <w:tab/>
        </w:r>
        <w:r w:rsidR="009E5720" w:rsidRPr="00D57565">
          <w:rPr>
            <w:rStyle w:val="Hyperlink"/>
            <w:noProof/>
          </w:rPr>
          <w:t>Governing law</w:t>
        </w:r>
        <w:r w:rsidR="009E5720">
          <w:rPr>
            <w:noProof/>
          </w:rPr>
          <w:tab/>
        </w:r>
        <w:r w:rsidR="009E5720">
          <w:rPr>
            <w:noProof/>
          </w:rPr>
          <w:fldChar w:fldCharType="begin"/>
        </w:r>
        <w:r w:rsidR="009E5720">
          <w:rPr>
            <w:noProof/>
          </w:rPr>
          <w:instrText xml:space="preserve"> PAGEREF _Toc173414087 \h </w:instrText>
        </w:r>
        <w:r w:rsidR="009E5720">
          <w:rPr>
            <w:noProof/>
          </w:rPr>
        </w:r>
        <w:r w:rsidR="009E5720">
          <w:rPr>
            <w:noProof/>
          </w:rPr>
          <w:fldChar w:fldCharType="separate"/>
        </w:r>
        <w:r w:rsidR="00896E84">
          <w:rPr>
            <w:noProof/>
          </w:rPr>
          <w:t>11</w:t>
        </w:r>
        <w:r w:rsidR="009E5720">
          <w:rPr>
            <w:noProof/>
          </w:rPr>
          <w:fldChar w:fldCharType="end"/>
        </w:r>
      </w:hyperlink>
    </w:p>
    <w:p w14:paraId="1E94F0A6" w14:textId="1CE2E34B" w:rsidR="009E5720" w:rsidRDefault="00D47D95">
      <w:pPr>
        <w:pStyle w:val="TOC1"/>
        <w:tabs>
          <w:tab w:val="left" w:pos="720"/>
          <w:tab w:val="right" w:leader="dot" w:pos="9350"/>
        </w:tabs>
        <w:rPr>
          <w:rFonts w:eastAsiaTheme="minorEastAsia"/>
          <w:noProof/>
          <w:lang w:eastAsia="en-GB"/>
        </w:rPr>
      </w:pPr>
      <w:hyperlink w:anchor="_Toc173414088" w:history="1">
        <w:r w:rsidR="009E5720" w:rsidRPr="00D57565">
          <w:rPr>
            <w:rStyle w:val="Hyperlink"/>
            <w:noProof/>
          </w:rPr>
          <w:t>20.</w:t>
        </w:r>
        <w:r w:rsidR="009E5720">
          <w:rPr>
            <w:rFonts w:eastAsiaTheme="minorEastAsia"/>
            <w:noProof/>
            <w:lang w:eastAsia="en-GB"/>
          </w:rPr>
          <w:tab/>
        </w:r>
        <w:r w:rsidR="009E5720" w:rsidRPr="00D57565">
          <w:rPr>
            <w:rStyle w:val="Hyperlink"/>
            <w:noProof/>
          </w:rPr>
          <w:t>Jurisdiction</w:t>
        </w:r>
        <w:r w:rsidR="009E5720">
          <w:rPr>
            <w:noProof/>
          </w:rPr>
          <w:tab/>
        </w:r>
        <w:r w:rsidR="009E5720">
          <w:rPr>
            <w:noProof/>
          </w:rPr>
          <w:fldChar w:fldCharType="begin"/>
        </w:r>
        <w:r w:rsidR="009E5720">
          <w:rPr>
            <w:noProof/>
          </w:rPr>
          <w:instrText xml:space="preserve"> PAGEREF _Toc173414088 \h </w:instrText>
        </w:r>
        <w:r w:rsidR="009E5720">
          <w:rPr>
            <w:noProof/>
          </w:rPr>
        </w:r>
        <w:r w:rsidR="009E5720">
          <w:rPr>
            <w:noProof/>
          </w:rPr>
          <w:fldChar w:fldCharType="separate"/>
        </w:r>
        <w:r w:rsidR="00896E84">
          <w:rPr>
            <w:noProof/>
          </w:rPr>
          <w:t>11</w:t>
        </w:r>
        <w:r w:rsidR="009E5720">
          <w:rPr>
            <w:noProof/>
          </w:rPr>
          <w:fldChar w:fldCharType="end"/>
        </w:r>
      </w:hyperlink>
    </w:p>
    <w:p w14:paraId="52E0D1CB" w14:textId="10944F16" w:rsidR="009E5720" w:rsidRDefault="00D47D95">
      <w:pPr>
        <w:pStyle w:val="TOC1"/>
        <w:tabs>
          <w:tab w:val="left" w:pos="720"/>
          <w:tab w:val="right" w:leader="dot" w:pos="9350"/>
        </w:tabs>
        <w:rPr>
          <w:rFonts w:eastAsiaTheme="minorEastAsia"/>
          <w:noProof/>
          <w:lang w:eastAsia="en-GB"/>
        </w:rPr>
      </w:pPr>
      <w:hyperlink w:anchor="_Toc173414089" w:history="1">
        <w:r w:rsidR="009E5720" w:rsidRPr="00D57565">
          <w:rPr>
            <w:rStyle w:val="Hyperlink"/>
            <w:noProof/>
          </w:rPr>
          <w:t>21.</w:t>
        </w:r>
        <w:r w:rsidR="009E5720">
          <w:rPr>
            <w:rFonts w:eastAsiaTheme="minorEastAsia"/>
            <w:noProof/>
            <w:lang w:eastAsia="en-GB"/>
          </w:rPr>
          <w:tab/>
        </w:r>
        <w:r w:rsidR="009E5720" w:rsidRPr="00D57565">
          <w:rPr>
            <w:rStyle w:val="Hyperlink"/>
            <w:noProof/>
          </w:rPr>
          <w:t>Disbursements</w:t>
        </w:r>
        <w:r w:rsidR="009E5720">
          <w:rPr>
            <w:noProof/>
          </w:rPr>
          <w:tab/>
        </w:r>
        <w:r w:rsidR="009E5720">
          <w:rPr>
            <w:noProof/>
          </w:rPr>
          <w:fldChar w:fldCharType="begin"/>
        </w:r>
        <w:r w:rsidR="009E5720">
          <w:rPr>
            <w:noProof/>
          </w:rPr>
          <w:instrText xml:space="preserve"> PAGEREF _Toc173414089 \h </w:instrText>
        </w:r>
        <w:r w:rsidR="009E5720">
          <w:rPr>
            <w:noProof/>
          </w:rPr>
        </w:r>
        <w:r w:rsidR="009E5720">
          <w:rPr>
            <w:noProof/>
          </w:rPr>
          <w:fldChar w:fldCharType="separate"/>
        </w:r>
        <w:r w:rsidR="00896E84">
          <w:rPr>
            <w:noProof/>
          </w:rPr>
          <w:t>12</w:t>
        </w:r>
        <w:r w:rsidR="009E5720">
          <w:rPr>
            <w:noProof/>
          </w:rPr>
          <w:fldChar w:fldCharType="end"/>
        </w:r>
      </w:hyperlink>
    </w:p>
    <w:p w14:paraId="21F29C9F" w14:textId="7C26BD02" w:rsidR="00516DBC" w:rsidRPr="00516DBC" w:rsidRDefault="00516DBC" w:rsidP="00CC5116">
      <w:pPr>
        <w:pStyle w:val="TOC1"/>
        <w:tabs>
          <w:tab w:val="right" w:leader="dot" w:pos="9350"/>
        </w:tabs>
        <w:rPr>
          <w:lang w:eastAsia="en-GB"/>
        </w:rPr>
      </w:pPr>
      <w:r>
        <w:rPr>
          <w:lang w:eastAsia="en-GB"/>
        </w:rPr>
        <w:t xml:space="preserve"> </w:t>
      </w:r>
    </w:p>
    <w:p w14:paraId="13903C6A" w14:textId="1F7483EE" w:rsidR="00AC2926" w:rsidRDefault="009E5720" w:rsidP="002F3A10">
      <w:pPr>
        <w:pStyle w:val="HeadingLevel2"/>
      </w:pPr>
      <w:r>
        <w:fldChar w:fldCharType="end"/>
      </w:r>
    </w:p>
    <w:p w14:paraId="6BBD456C" w14:textId="1840BA3C" w:rsidR="00AC2926" w:rsidRDefault="009E5720" w:rsidP="009E5720">
      <w:pPr>
        <w:pStyle w:val="HeadingLevel2"/>
        <w:tabs>
          <w:tab w:val="left" w:pos="8280"/>
        </w:tabs>
      </w:pPr>
      <w:r>
        <w:tab/>
      </w:r>
    </w:p>
    <w:p w14:paraId="1F6A6848" w14:textId="571D4083" w:rsidR="009E5720" w:rsidRPr="009E5720" w:rsidRDefault="009E5720" w:rsidP="009E5720">
      <w:pPr>
        <w:tabs>
          <w:tab w:val="left" w:pos="8280"/>
        </w:tabs>
        <w:sectPr w:rsidR="009E5720" w:rsidRPr="009E5720" w:rsidSect="00487D56">
          <w:footerReference w:type="default" r:id="rId11"/>
          <w:pgSz w:w="12240" w:h="15840"/>
          <w:pgMar w:top="1440" w:right="1440" w:bottom="1440" w:left="1440" w:header="720" w:footer="720" w:gutter="0"/>
          <w:pgNumType w:start="1"/>
          <w:cols w:space="720"/>
        </w:sectPr>
      </w:pPr>
      <w:r>
        <w:tab/>
      </w:r>
    </w:p>
    <w:p w14:paraId="502F475B" w14:textId="77777777" w:rsidR="00AC2926" w:rsidRDefault="00AC2926" w:rsidP="005F726A">
      <w:pPr>
        <w:pStyle w:val="HeadingLevel2"/>
      </w:pPr>
    </w:p>
    <w:p w14:paraId="40D1468D" w14:textId="79A2CE43" w:rsidR="00AC2926" w:rsidRDefault="009E5720" w:rsidP="005F726A">
      <w:pPr>
        <w:pStyle w:val="IntroDefault"/>
      </w:pPr>
      <w:r>
        <w:t xml:space="preserve">This contract is dated </w:t>
      </w:r>
      <w:r w:rsidR="0053569C">
        <w:tab/>
      </w:r>
      <w:r w:rsidR="0053569C">
        <w:tab/>
      </w:r>
      <w:r w:rsidR="0053569C">
        <w:tab/>
      </w:r>
    </w:p>
    <w:p w14:paraId="378C568E" w14:textId="77777777" w:rsidR="00AC2926" w:rsidRDefault="009E5720" w:rsidP="005F726A">
      <w:pPr>
        <w:pStyle w:val="DescriptiveHeading"/>
      </w:pPr>
      <w:r>
        <w:t>Parties</w:t>
      </w:r>
    </w:p>
    <w:p w14:paraId="1DE15C6E" w14:textId="492B50A7" w:rsidR="00AC2926" w:rsidRDefault="00611539" w:rsidP="005F726A">
      <w:pPr>
        <w:pStyle w:val="Parties"/>
        <w:rPr>
          <w:b/>
        </w:rPr>
      </w:pPr>
      <w:r>
        <w:rPr>
          <w:b/>
          <w:bCs/>
        </w:rPr>
        <w:t xml:space="preserve">Frances Claire Slee </w:t>
      </w:r>
      <w:r>
        <w:t xml:space="preserve">of Amesbury House, 7 Pear Tree Way, Penrith, Cumbria CA11 8WA </w:t>
      </w:r>
      <w:r>
        <w:rPr>
          <w:b/>
          <w:bCs/>
        </w:rPr>
        <w:t xml:space="preserve">and Janice Margaret Heighway </w:t>
      </w:r>
      <w:r>
        <w:t xml:space="preserve">of 2 </w:t>
      </w:r>
      <w:proofErr w:type="spellStart"/>
      <w:r>
        <w:t>Bruxby</w:t>
      </w:r>
      <w:proofErr w:type="spellEnd"/>
      <w:r>
        <w:t xml:space="preserve"> Street, </w:t>
      </w:r>
      <w:proofErr w:type="spellStart"/>
      <w:r>
        <w:t>Syston</w:t>
      </w:r>
      <w:proofErr w:type="spellEnd"/>
      <w:r>
        <w:t>, Leicester LE7 1NB</w:t>
      </w:r>
      <w:r w:rsidR="0053569C">
        <w:t xml:space="preserve"> (</w:t>
      </w:r>
      <w:r w:rsidR="0053569C">
        <w:rPr>
          <w:rStyle w:val="DefTerm"/>
        </w:rPr>
        <w:t>Seller</w:t>
      </w:r>
      <w:r w:rsidR="0053569C">
        <w:t xml:space="preserve">) </w:t>
      </w:r>
    </w:p>
    <w:p w14:paraId="69A3AF71" w14:textId="0891983A" w:rsidR="00AC2926" w:rsidRDefault="0053569C" w:rsidP="005F726A">
      <w:pPr>
        <w:pStyle w:val="Parties"/>
        <w:rPr>
          <w:b/>
        </w:rPr>
      </w:pPr>
      <w:r>
        <w:t>[</w:t>
      </w:r>
      <w:r>
        <w:tab/>
      </w:r>
      <w:r>
        <w:tab/>
      </w:r>
      <w:r>
        <w:tab/>
      </w:r>
      <w:r>
        <w:tab/>
      </w:r>
      <w:r>
        <w:tab/>
        <w:t>] of [</w:t>
      </w:r>
      <w:r>
        <w:tab/>
      </w:r>
      <w:r>
        <w:tab/>
      </w:r>
      <w:r>
        <w:tab/>
      </w:r>
      <w:r>
        <w:tab/>
      </w:r>
      <w:r>
        <w:tab/>
      </w:r>
      <w:r>
        <w:tab/>
      </w:r>
      <w:r>
        <w:tab/>
      </w:r>
      <w:r>
        <w:tab/>
      </w:r>
      <w:r>
        <w:tab/>
      </w:r>
      <w:r>
        <w:tab/>
      </w:r>
      <w:r>
        <w:tab/>
      </w:r>
      <w:r>
        <w:tab/>
      </w:r>
      <w:r>
        <w:tab/>
      </w:r>
      <w:r>
        <w:tab/>
        <w:t>] (</w:t>
      </w:r>
      <w:r>
        <w:rPr>
          <w:rStyle w:val="DefTerm"/>
        </w:rPr>
        <w:t>Buyer</w:t>
      </w:r>
      <w:r>
        <w:t xml:space="preserve">) </w:t>
      </w:r>
    </w:p>
    <w:p w14:paraId="3D0BB89E" w14:textId="77777777" w:rsidR="00AC2926" w:rsidRDefault="009E5720" w:rsidP="005F726A">
      <w:pPr>
        <w:pStyle w:val="DescriptiveHeading"/>
      </w:pPr>
      <w:r>
        <w:t>Agreed terms</w:t>
      </w:r>
    </w:p>
    <w:p w14:paraId="05B66AEE" w14:textId="77777777" w:rsidR="00AC2926" w:rsidRDefault="009E5720" w:rsidP="005F726A">
      <w:pPr>
        <w:pStyle w:val="TitleClause"/>
      </w:pPr>
      <w:r>
        <w:fldChar w:fldCharType="begin"/>
      </w:r>
      <w:r>
        <w:instrText>TC "1. Interpretation" \l 1</w:instrText>
      </w:r>
      <w:r>
        <w:fldChar w:fldCharType="end"/>
      </w:r>
      <w:bookmarkStart w:id="0" w:name="a334591"/>
      <w:bookmarkStart w:id="1" w:name="_Toc173414069"/>
      <w:r>
        <w:t>Interpretation</w:t>
      </w:r>
      <w:bookmarkEnd w:id="0"/>
      <w:bookmarkEnd w:id="1"/>
    </w:p>
    <w:p w14:paraId="4230E4A8" w14:textId="77777777" w:rsidR="00AC2926" w:rsidRDefault="009E5720" w:rsidP="005F726A">
      <w:pPr>
        <w:pStyle w:val="ParaClause"/>
      </w:pPr>
      <w:r>
        <w:t>The following definitions and rules of interpretation apply in this contract.</w:t>
      </w:r>
    </w:p>
    <w:p w14:paraId="68C0E3B6" w14:textId="77777777" w:rsidR="00AC2926" w:rsidRDefault="009E5720" w:rsidP="005F726A">
      <w:pPr>
        <w:pStyle w:val="Untitledsubclause1"/>
      </w:pPr>
      <w:bookmarkStart w:id="2" w:name="a729800"/>
      <w:r>
        <w:t>Definitions:</w:t>
      </w:r>
      <w:bookmarkEnd w:id="2"/>
    </w:p>
    <w:p w14:paraId="7F59FD72" w14:textId="2B2345E5" w:rsidR="00AC2926" w:rsidRDefault="009E5720" w:rsidP="005F726A">
      <w:pPr>
        <w:pStyle w:val="DefinedTermPara"/>
        <w:rPr>
          <w:rStyle w:val="DefTerm"/>
        </w:rPr>
      </w:pPr>
      <w:bookmarkStart w:id="3" w:name="a792954"/>
      <w:r>
        <w:rPr>
          <w:rStyle w:val="DefTerm"/>
        </w:rPr>
        <w:t>Buyer's Conveyancer</w:t>
      </w:r>
      <w:r>
        <w:rPr>
          <w:rStyle w:val="DefTerm"/>
        </w:rPr>
        <w:fldChar w:fldCharType="begin"/>
      </w:r>
      <w:r>
        <w:rPr>
          <w:rStyle w:val="DefTerm"/>
        </w:rPr>
        <w:instrText xml:space="preserve"> MACROBUTTON optional </w:instrText>
      </w:r>
      <w:r>
        <w:rPr>
          <w:rStyle w:val="DefTerm"/>
        </w:rPr>
        <w:fldChar w:fldCharType="end"/>
      </w:r>
      <w:r>
        <w:t>: [</w:t>
      </w:r>
      <w:r w:rsidR="0053569C">
        <w:tab/>
      </w:r>
      <w:r w:rsidR="0053569C">
        <w:tab/>
      </w:r>
      <w:r w:rsidR="0053569C">
        <w:tab/>
      </w:r>
      <w:r w:rsidR="0053569C">
        <w:tab/>
      </w:r>
      <w:r w:rsidR="0053569C">
        <w:tab/>
      </w:r>
      <w:r w:rsidR="0053569C">
        <w:tab/>
      </w:r>
      <w:r w:rsidR="0053569C">
        <w:tab/>
      </w:r>
      <w:r w:rsidR="0053569C">
        <w:tab/>
      </w:r>
      <w:r>
        <w:t>]</w:t>
      </w:r>
      <w:bookmarkEnd w:id="3"/>
    </w:p>
    <w:p w14:paraId="29E891CB" w14:textId="6711E1CD" w:rsidR="00AC2926" w:rsidRPr="00390BC8" w:rsidRDefault="009E5720" w:rsidP="005F726A">
      <w:pPr>
        <w:pStyle w:val="DefinedTermPara"/>
        <w:rPr>
          <w:b/>
        </w:rPr>
      </w:pPr>
      <w:bookmarkStart w:id="4" w:name="a252537"/>
      <w:r>
        <w:rPr>
          <w:rStyle w:val="DefTerm"/>
        </w:rPr>
        <w:t>Completion Date</w:t>
      </w:r>
      <w:r>
        <w:t xml:space="preserve">: </w:t>
      </w:r>
      <w:r w:rsidR="00611539">
        <w:t>28</w:t>
      </w:r>
      <w:r w:rsidR="00611539" w:rsidRPr="00611539">
        <w:rPr>
          <w:vertAlign w:val="superscript"/>
        </w:rPr>
        <w:t>th</w:t>
      </w:r>
      <w:r w:rsidR="00611539">
        <w:t xml:space="preserve"> October 2024</w:t>
      </w:r>
      <w:bookmarkEnd w:id="4"/>
    </w:p>
    <w:p w14:paraId="2E1C890C" w14:textId="2BE5CC57" w:rsidR="00AC2926" w:rsidRPr="006D7378" w:rsidRDefault="009E5720" w:rsidP="005F726A">
      <w:pPr>
        <w:pStyle w:val="DefinedTermPara"/>
        <w:rPr>
          <w:b/>
        </w:rPr>
      </w:pPr>
      <w:bookmarkStart w:id="5" w:name="a427821"/>
      <w:r>
        <w:rPr>
          <w:rStyle w:val="DefTerm"/>
        </w:rPr>
        <w:t>Contract Rate</w:t>
      </w:r>
      <w:r>
        <w:t xml:space="preserve">: interest at </w:t>
      </w:r>
      <w:r w:rsidR="0053569C">
        <w:t>4</w:t>
      </w:r>
      <w:r>
        <w:t xml:space="preserve">% per annum above the base rate from time to time of </w:t>
      </w:r>
      <w:r w:rsidR="0053569C">
        <w:t>Lloyds</w:t>
      </w:r>
      <w:r>
        <w:t xml:space="preserve"> Bank plc.</w:t>
      </w:r>
      <w:bookmarkEnd w:id="5"/>
    </w:p>
    <w:p w14:paraId="16B46AEE" w14:textId="77777777" w:rsidR="00AC2926" w:rsidRDefault="009E5720" w:rsidP="005F726A">
      <w:pPr>
        <w:pStyle w:val="DefinedTermPara"/>
      </w:pPr>
      <w:bookmarkStart w:id="6" w:name="a451468"/>
      <w:r>
        <w:rPr>
          <w:rStyle w:val="DefTerm"/>
        </w:rPr>
        <w:t>Delinked Payment</w:t>
      </w:r>
      <w:r>
        <w:t xml:space="preserve">: the payment defined by section 5(3) of the </w:t>
      </w:r>
      <w:proofErr w:type="gramStart"/>
      <w:r>
        <w:t>Agriculture</w:t>
      </w:r>
      <w:proofErr w:type="gramEnd"/>
      <w:r>
        <w:t xml:space="preserve"> (Delinked Payments and Consequential Provisions) (England) Regulations 2023 and any subsequent amendment thereof.</w:t>
      </w:r>
      <w:bookmarkEnd w:id="6"/>
    </w:p>
    <w:p w14:paraId="2276E14A" w14:textId="72405095" w:rsidR="00AC2926" w:rsidRPr="009A2749" w:rsidRDefault="009E5720" w:rsidP="005F726A">
      <w:pPr>
        <w:pStyle w:val="DefinedTermPara"/>
        <w:rPr>
          <w:b/>
        </w:rPr>
      </w:pPr>
      <w:bookmarkStart w:id="7" w:name="a845357"/>
      <w:r>
        <w:rPr>
          <w:rStyle w:val="DefTerm"/>
        </w:rPr>
        <w:t>Deposit</w:t>
      </w:r>
      <w:r>
        <w:t xml:space="preserve">: </w:t>
      </w:r>
      <w:r w:rsidR="0053569C">
        <w:t>£</w:t>
      </w:r>
      <w:r w:rsidR="0053569C">
        <w:tab/>
      </w:r>
      <w:r w:rsidR="0053569C">
        <w:tab/>
      </w:r>
      <w:r w:rsidR="0053569C">
        <w:tab/>
      </w:r>
      <w:r w:rsidR="0053569C">
        <w:tab/>
      </w:r>
      <w:r>
        <w:t xml:space="preserve"> (exclusive of VAT).</w:t>
      </w:r>
      <w:bookmarkEnd w:id="7"/>
    </w:p>
    <w:p w14:paraId="45AD8988" w14:textId="77777777" w:rsidR="00AC2926" w:rsidRPr="003D04DF" w:rsidRDefault="009E5720" w:rsidP="005F726A">
      <w:pPr>
        <w:pStyle w:val="DefinedTermPara"/>
        <w:rPr>
          <w:b/>
        </w:rPr>
      </w:pPr>
      <w:r>
        <w:rPr>
          <w:b/>
        </w:rPr>
        <w:t>Electronic Payment</w:t>
      </w:r>
      <w:r>
        <w:t>: payment by electronic means in same day cleared funds from an account held in the name of the Buyer’s Conveyancer at a clearing bank to an account in the name of the Seller’s Conveyancer.</w:t>
      </w:r>
    </w:p>
    <w:p w14:paraId="4E2E3A95" w14:textId="77777777" w:rsidR="00AC2926" w:rsidRPr="00427A5A" w:rsidRDefault="009E5720" w:rsidP="005F726A">
      <w:pPr>
        <w:pStyle w:val="DefinedTermPara"/>
      </w:pPr>
      <w:bookmarkStart w:id="8" w:name="a719993"/>
      <w:r>
        <w:rPr>
          <w:rStyle w:val="DefTerm"/>
        </w:rPr>
        <w:t>Incumbrance</w:t>
      </w:r>
      <w:r>
        <w:t>: 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w:t>
      </w:r>
      <w:bookmarkEnd w:id="8"/>
    </w:p>
    <w:p w14:paraId="268564F1" w14:textId="77777777" w:rsidR="00AC2926" w:rsidRDefault="009E5720" w:rsidP="005F726A">
      <w:pPr>
        <w:pStyle w:val="DefinedTermPara"/>
        <w:rPr>
          <w:rStyle w:val="DefTerm"/>
        </w:rPr>
      </w:pPr>
      <w:bookmarkStart w:id="9" w:name="a109274"/>
      <w:r>
        <w:rPr>
          <w:rStyle w:val="DefTerm"/>
        </w:rPr>
        <w:t>Part 1 Conditions</w:t>
      </w:r>
      <w:r>
        <w:t xml:space="preserve">: the conditions in Part 1 of the Standard Commercial Property Conditions (Third Edition – 2018 Revision) and </w:t>
      </w:r>
      <w:r>
        <w:rPr>
          <w:b/>
        </w:rPr>
        <w:t>Condition</w:t>
      </w:r>
      <w:r>
        <w:t xml:space="preserve"> means any one of them.</w:t>
      </w:r>
      <w:bookmarkEnd w:id="9"/>
    </w:p>
    <w:p w14:paraId="667E3908" w14:textId="77777777" w:rsidR="00AC2926" w:rsidRDefault="009E5720" w:rsidP="005F726A">
      <w:pPr>
        <w:pStyle w:val="DefinedTermPara"/>
        <w:rPr>
          <w:rStyle w:val="DefTerm"/>
        </w:rPr>
      </w:pPr>
      <w:bookmarkStart w:id="10" w:name="a339692"/>
      <w:r>
        <w:rPr>
          <w:rStyle w:val="DefTerm"/>
        </w:rPr>
        <w:t>Part 2 Conditions</w:t>
      </w:r>
      <w:r>
        <w:t>: the conditions in Part 2 of the Standard Commercial Property Conditions (Third Edition – 2018 Revision).</w:t>
      </w:r>
      <w:bookmarkEnd w:id="10"/>
    </w:p>
    <w:p w14:paraId="2CEE12E1" w14:textId="4C6A8A8B" w:rsidR="00AC2926" w:rsidRPr="00627273" w:rsidRDefault="009E5720" w:rsidP="005F726A">
      <w:pPr>
        <w:pStyle w:val="DefinedTermPara"/>
        <w:rPr>
          <w:b/>
        </w:rPr>
      </w:pPr>
      <w:bookmarkStart w:id="11" w:name="a828873"/>
      <w:r>
        <w:rPr>
          <w:rStyle w:val="DefTerm"/>
        </w:rPr>
        <w:lastRenderedPageBreak/>
        <w:t>Property</w:t>
      </w:r>
      <w:r>
        <w:t xml:space="preserve">: </w:t>
      </w:r>
      <w:r w:rsidR="00611539">
        <w:t xml:space="preserve">Field number </w:t>
      </w:r>
      <w:r w:rsidR="00CC5116">
        <w:t>3366</w:t>
      </w:r>
      <w:r w:rsidR="00611539">
        <w:t xml:space="preserve"> (Lot </w:t>
      </w:r>
      <w:r w:rsidR="00CC5116">
        <w:t>2</w:t>
      </w:r>
      <w:r w:rsidR="00611539">
        <w:t xml:space="preserve">) containing </w:t>
      </w:r>
      <w:r w:rsidR="00CC5116">
        <w:t>0</w:t>
      </w:r>
      <w:r w:rsidR="00611539">
        <w:t>.</w:t>
      </w:r>
      <w:r w:rsidR="00CC5116">
        <w:t>7</w:t>
      </w:r>
      <w:r w:rsidR="00611539">
        <w:t>7 acres (</w:t>
      </w:r>
      <w:r w:rsidR="00CC5116">
        <w:t>0.31</w:t>
      </w:r>
      <w:r w:rsidR="00611539">
        <w:t xml:space="preserve"> hectares) of land at Hill Top Farm, </w:t>
      </w:r>
      <w:proofErr w:type="spellStart"/>
      <w:r w:rsidR="00611539">
        <w:t>Gamblesby</w:t>
      </w:r>
      <w:proofErr w:type="spellEnd"/>
      <w:r w:rsidR="00611539">
        <w:t xml:space="preserve">, Penrith, Cumbria CA10 1HY and being part of the land </w:t>
      </w:r>
      <w:r>
        <w:t xml:space="preserve">registered at HM Land Registry with title absolute under title number </w:t>
      </w:r>
      <w:bookmarkEnd w:id="11"/>
      <w:r w:rsidR="0053569C">
        <w:t>CU</w:t>
      </w:r>
      <w:r w:rsidR="00611539">
        <w:t xml:space="preserve">332820 as shown edged </w:t>
      </w:r>
      <w:r w:rsidR="00CC5116">
        <w:t>green</w:t>
      </w:r>
      <w:r w:rsidR="00611539">
        <w:t xml:space="preserve"> on the plan attached to the Sale Particulars of the Sellers Agent </w:t>
      </w:r>
      <w:r>
        <w:t>with any amendments or alterations announced at the public auction before the commencement of bidding.</w:t>
      </w:r>
    </w:p>
    <w:p w14:paraId="033BF46D" w14:textId="0117E08B" w:rsidR="00AC2926" w:rsidRDefault="009E5720" w:rsidP="005F726A">
      <w:pPr>
        <w:pStyle w:val="DefinedTermPara"/>
        <w:rPr>
          <w:rStyle w:val="DefTerm"/>
        </w:rPr>
      </w:pPr>
      <w:bookmarkStart w:id="12" w:name="a484226"/>
      <w:r>
        <w:rPr>
          <w:rStyle w:val="DefTerm"/>
        </w:rPr>
        <w:t>Purchase Price</w:t>
      </w:r>
      <w:r>
        <w:t>: £</w:t>
      </w:r>
      <w:r w:rsidR="0053569C">
        <w:tab/>
      </w:r>
      <w:r w:rsidR="0053569C">
        <w:tab/>
      </w:r>
      <w:r w:rsidR="0053569C">
        <w:tab/>
      </w:r>
      <w:r w:rsidR="0053569C">
        <w:tab/>
      </w:r>
      <w:r w:rsidR="0053569C">
        <w:tab/>
      </w:r>
      <w:r>
        <w:t xml:space="preserve"> (exclusive of VAT).</w:t>
      </w:r>
      <w:bookmarkEnd w:id="12"/>
    </w:p>
    <w:p w14:paraId="2473DB95" w14:textId="02FD6C56" w:rsidR="00AC2926" w:rsidRDefault="009E5720" w:rsidP="005F726A">
      <w:pPr>
        <w:pStyle w:val="DefinedTermPara"/>
        <w:rPr>
          <w:rStyle w:val="DefTerm"/>
        </w:rPr>
      </w:pPr>
      <w:bookmarkStart w:id="13" w:name="a235174"/>
      <w:r>
        <w:rPr>
          <w:rStyle w:val="DefTerm"/>
        </w:rPr>
        <w:t>Seller's Agent</w:t>
      </w:r>
      <w:r>
        <w:t xml:space="preserve">: </w:t>
      </w:r>
      <w:r w:rsidR="00611539">
        <w:t>Jo Edwards of PFK Rural</w:t>
      </w:r>
      <w:r w:rsidR="0053569C">
        <w:t>,</w:t>
      </w:r>
      <w:r w:rsidR="00611539">
        <w:t xml:space="preserve"> 10 The Courtyard, Edenhall, Penrith, Cumbria CA11 8ST</w:t>
      </w:r>
      <w:bookmarkEnd w:id="13"/>
      <w:r w:rsidR="00611539">
        <w:t>.</w:t>
      </w:r>
    </w:p>
    <w:p w14:paraId="0BBB9AA7" w14:textId="0AC8AF42" w:rsidR="00AC2926" w:rsidRDefault="009E5720" w:rsidP="005F726A">
      <w:pPr>
        <w:pStyle w:val="DefinedTermPara"/>
        <w:rPr>
          <w:rStyle w:val="DefTerm"/>
        </w:rPr>
      </w:pPr>
      <w:bookmarkStart w:id="14" w:name="a550614"/>
      <w:r>
        <w:rPr>
          <w:rStyle w:val="DefTerm"/>
        </w:rPr>
        <w:t>Seller's Conveyancer</w:t>
      </w:r>
      <w:r>
        <w:t xml:space="preserve">: </w:t>
      </w:r>
      <w:bookmarkEnd w:id="14"/>
      <w:r w:rsidR="0053569C">
        <w:t>Arnison Heelis Solicitors, 1 St Andrews Place, Penrith CA11 7AW.</w:t>
      </w:r>
    </w:p>
    <w:p w14:paraId="3728C2FF" w14:textId="298EEEB0" w:rsidR="00AC2926" w:rsidRDefault="009E5720" w:rsidP="005F726A">
      <w:pPr>
        <w:pStyle w:val="DefinedTermPara"/>
        <w:rPr>
          <w:rStyle w:val="DefTerm"/>
        </w:rPr>
      </w:pPr>
      <w:bookmarkStart w:id="15" w:name="a198208"/>
      <w:r>
        <w:rPr>
          <w:rStyle w:val="DefTerm"/>
        </w:rPr>
        <w:t>VAT</w:t>
      </w:r>
      <w:r>
        <w:t>: value added tax chargeable in the UK.</w:t>
      </w:r>
      <w:bookmarkEnd w:id="15"/>
    </w:p>
    <w:p w14:paraId="7A8C5372" w14:textId="77777777" w:rsidR="00AC2926" w:rsidRPr="00F2361E" w:rsidRDefault="009E5720" w:rsidP="005F726A">
      <w:pPr>
        <w:pStyle w:val="DefinedTermPara"/>
        <w:rPr>
          <w:b/>
        </w:rPr>
      </w:pPr>
      <w:r>
        <w:rPr>
          <w:b/>
        </w:rPr>
        <w:t>Written Replies</w:t>
      </w:r>
      <w:r>
        <w:t>: are</w:t>
      </w:r>
    </w:p>
    <w:p w14:paraId="746A35B8" w14:textId="77777777" w:rsidR="00AC2926" w:rsidRPr="00F2361E" w:rsidRDefault="009E5720" w:rsidP="005F726A">
      <w:pPr>
        <w:pStyle w:val="DefinedTermNumber"/>
      </w:pPr>
      <w:r>
        <w:t>written replies that the Seller's Conveyancer has given prior to exchange of this contract to any written enquiries raised by the Buyer's Conveyancer; or</w:t>
      </w:r>
    </w:p>
    <w:p w14:paraId="299BD70B" w14:textId="77777777" w:rsidR="00AC2926" w:rsidRDefault="009E5720" w:rsidP="005F726A">
      <w:pPr>
        <w:pStyle w:val="DefinedTermNumber"/>
      </w:pPr>
      <w:r>
        <w:t>written replies to written enquiries given prior to exchange of this agreement by the Seller's Conveyancer to the Buyer's Conveyancer.</w:t>
      </w:r>
    </w:p>
    <w:p w14:paraId="5A959CEF" w14:textId="77777777" w:rsidR="00AC2926" w:rsidRDefault="009E5720" w:rsidP="005F726A">
      <w:pPr>
        <w:pStyle w:val="Untitledsubclause1"/>
      </w:pPr>
      <w:bookmarkStart w:id="16" w:name="a429454"/>
      <w:r>
        <w:t xml:space="preserve">A </w:t>
      </w:r>
      <w:r>
        <w:rPr>
          <w:rStyle w:val="DefTerm"/>
        </w:rPr>
        <w:t>person</w:t>
      </w:r>
      <w:r>
        <w:t xml:space="preserve"> includes a natural person, corporate or unincorporated body (</w:t>
      </w:r>
      <w:proofErr w:type="gramStart"/>
      <w:r>
        <w:t>whether or not</w:t>
      </w:r>
      <w:proofErr w:type="gramEnd"/>
      <w:r>
        <w:t xml:space="preserve"> having separate legal personality).</w:t>
      </w:r>
      <w:bookmarkEnd w:id="16"/>
    </w:p>
    <w:p w14:paraId="38B251CB" w14:textId="77777777" w:rsidR="00AC2926" w:rsidRDefault="009E5720" w:rsidP="005F726A">
      <w:pPr>
        <w:pStyle w:val="Untitledsubclause1"/>
      </w:pPr>
      <w:bookmarkStart w:id="17" w:name="a927431"/>
      <w:r>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w:t>
      </w:r>
      <w:bookmarkEnd w:id="17"/>
    </w:p>
    <w:p w14:paraId="2BF8B1D6" w14:textId="77777777" w:rsidR="00AC2926" w:rsidRDefault="009E5720" w:rsidP="005F726A">
      <w:pPr>
        <w:pStyle w:val="Untitledsubclause1"/>
      </w:pPr>
      <w:bookmarkStart w:id="18" w:name="a699078"/>
      <w:r>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bookmarkEnd w:id="18"/>
    </w:p>
    <w:p w14:paraId="7ECB3774" w14:textId="2ACC22BA" w:rsidR="00AC2926" w:rsidRDefault="009E5720" w:rsidP="005F726A">
      <w:pPr>
        <w:pStyle w:val="Untitledsubclause1"/>
      </w:pPr>
      <w:bookmarkStart w:id="19" w:name="a649717"/>
      <w:r>
        <w:t xml:space="preserve">A reference to </w:t>
      </w:r>
      <w:r>
        <w:rPr>
          <w:rStyle w:val="DefTerm"/>
        </w:rPr>
        <w:t>writing</w:t>
      </w:r>
      <w:r>
        <w:t xml:space="preserve"> or </w:t>
      </w:r>
      <w:r>
        <w:rPr>
          <w:rStyle w:val="DefTerm"/>
        </w:rPr>
        <w:t>written</w:t>
      </w:r>
      <w:r>
        <w:t xml:space="preserve"> excludes fax and email.</w:t>
      </w:r>
      <w:bookmarkEnd w:id="19"/>
    </w:p>
    <w:p w14:paraId="551B5FBD" w14:textId="77777777" w:rsidR="00AC2926" w:rsidRDefault="009E5720" w:rsidP="005F726A">
      <w:pPr>
        <w:pStyle w:val="Untitledsubclause1"/>
      </w:pPr>
      <w:bookmarkStart w:id="20" w:name="a532222"/>
      <w:r>
        <w:t>Unless the context otherwise requires, references to clauses and Schedules are to the clauses and Schedules of this contract and references to paragraphs are to paragraphs of the relevant Schedule.</w:t>
      </w:r>
      <w:bookmarkEnd w:id="20"/>
    </w:p>
    <w:p w14:paraId="1634C694" w14:textId="77777777" w:rsidR="00AC2926" w:rsidRDefault="009E5720" w:rsidP="005F726A">
      <w:pPr>
        <w:pStyle w:val="Untitledsubclause1"/>
      </w:pPr>
      <w:bookmarkStart w:id="21" w:name="a884706"/>
      <w:r>
        <w:t>Clause, Schedule and paragraph headings shall not affect the interpretation of this contract.</w:t>
      </w:r>
      <w:bookmarkEnd w:id="21"/>
    </w:p>
    <w:p w14:paraId="47FB3EB3" w14:textId="77777777" w:rsidR="00AC2926" w:rsidRDefault="009E5720" w:rsidP="005F726A">
      <w:pPr>
        <w:pStyle w:val="Untitledsubclause1"/>
      </w:pPr>
      <w:bookmarkStart w:id="22" w:name="a778273"/>
      <w:r>
        <w:lastRenderedPageBreak/>
        <w:t xml:space="preserve">Unless the context otherwise requires, words in the singular shall include the plural </w:t>
      </w:r>
      <w:proofErr w:type="gramStart"/>
      <w:r>
        <w:t>and in the plural</w:t>
      </w:r>
      <w:proofErr w:type="gramEnd"/>
      <w:r>
        <w:t xml:space="preserve"> shall include the singular. </w:t>
      </w:r>
      <w:bookmarkEnd w:id="22"/>
    </w:p>
    <w:p w14:paraId="0CA1278F" w14:textId="77777777" w:rsidR="00AC2926" w:rsidRDefault="009E5720" w:rsidP="005F726A">
      <w:pPr>
        <w:pStyle w:val="Untitledsubclause1"/>
      </w:pPr>
      <w:bookmarkStart w:id="23" w:name="a173482"/>
      <w:r>
        <w:t xml:space="preserve">Unless the context otherwise requires, a reference to one gender shall include a reference to the other genders. </w:t>
      </w:r>
      <w:bookmarkEnd w:id="23"/>
    </w:p>
    <w:p w14:paraId="1D774ADB" w14:textId="77777777" w:rsidR="00AC2926" w:rsidRDefault="009E5720" w:rsidP="005F726A">
      <w:pPr>
        <w:pStyle w:val="Untitledsubclause1"/>
      </w:pPr>
      <w:bookmarkStart w:id="24" w:name="a987854"/>
      <w:r>
        <w:t>Any obligation on a party not to do something includes an obligation not to allow that thing to be done.</w:t>
      </w:r>
      <w:bookmarkEnd w:id="24"/>
    </w:p>
    <w:p w14:paraId="1F67E3F1" w14:textId="77777777" w:rsidR="00AC2926" w:rsidRDefault="009E5720" w:rsidP="005F726A">
      <w:pPr>
        <w:pStyle w:val="TitleClause"/>
      </w:pPr>
      <w:r>
        <w:fldChar w:fldCharType="begin"/>
      </w:r>
      <w:r>
        <w:instrText>TC "2. Sale and purchase" \l 1</w:instrText>
      </w:r>
      <w:r>
        <w:fldChar w:fldCharType="end"/>
      </w:r>
      <w:bookmarkStart w:id="25" w:name="a827254"/>
      <w:bookmarkStart w:id="26" w:name="_Toc173414070"/>
      <w:r>
        <w:t>Sale and purchase</w:t>
      </w:r>
      <w:bookmarkEnd w:id="25"/>
      <w:bookmarkEnd w:id="26"/>
    </w:p>
    <w:p w14:paraId="6FA04507" w14:textId="597D633D" w:rsidR="00AC2926" w:rsidRDefault="009E5720" w:rsidP="005F726A">
      <w:pPr>
        <w:pStyle w:val="Untitledsubclause1"/>
      </w:pPr>
      <w:bookmarkStart w:id="27" w:name="a265189"/>
      <w:r>
        <w:t xml:space="preserve">The Seller shall </w:t>
      </w:r>
      <w:proofErr w:type="gramStart"/>
      <w:r>
        <w:t>sell</w:t>
      </w:r>
      <w:proofErr w:type="gramEnd"/>
      <w:r>
        <w:t xml:space="preserve"> and the Buyer shall buy the Property for the Purchase Price on the terms of this contract.</w:t>
      </w:r>
      <w:bookmarkEnd w:id="27"/>
    </w:p>
    <w:p w14:paraId="7827323B" w14:textId="77777777" w:rsidR="00AC2926" w:rsidRDefault="009E5720" w:rsidP="005F726A">
      <w:pPr>
        <w:pStyle w:val="Untitledsubclause1"/>
      </w:pPr>
      <w:bookmarkStart w:id="28" w:name="a685806"/>
      <w:r>
        <w:t>The Buyer cannot require the Seller to:</w:t>
      </w:r>
      <w:bookmarkEnd w:id="28"/>
    </w:p>
    <w:p w14:paraId="12BEFEB7" w14:textId="77777777" w:rsidR="00AC2926" w:rsidRDefault="009E5720" w:rsidP="005F726A">
      <w:pPr>
        <w:pStyle w:val="Untitledsubclause2"/>
      </w:pPr>
      <w:bookmarkStart w:id="29" w:name="a158376"/>
      <w:r>
        <w:t xml:space="preserve">transfer the Property or any part of it to any person other than the </w:t>
      </w:r>
      <w:proofErr w:type="gramStart"/>
      <w:r>
        <w:t>Buyer;</w:t>
      </w:r>
      <w:bookmarkEnd w:id="29"/>
      <w:proofErr w:type="gramEnd"/>
    </w:p>
    <w:p w14:paraId="443E80EE" w14:textId="77777777" w:rsidR="00AC2926" w:rsidRDefault="009E5720" w:rsidP="005F726A">
      <w:pPr>
        <w:pStyle w:val="Untitledsubclause2"/>
      </w:pPr>
      <w:bookmarkStart w:id="30" w:name="a271826"/>
      <w:r>
        <w:t xml:space="preserve">transfer the Property in more than one parcel or by more than one </w:t>
      </w:r>
      <w:proofErr w:type="gramStart"/>
      <w:r>
        <w:t>transfer;</w:t>
      </w:r>
      <w:proofErr w:type="gramEnd"/>
      <w:r>
        <w:t xml:space="preserve"> or</w:t>
      </w:r>
      <w:bookmarkEnd w:id="30"/>
    </w:p>
    <w:p w14:paraId="2CE50B1F" w14:textId="77777777" w:rsidR="00AC2926" w:rsidRDefault="009E5720" w:rsidP="005F726A">
      <w:pPr>
        <w:pStyle w:val="Untitledsubclause2"/>
      </w:pPr>
      <w:bookmarkStart w:id="31" w:name="a197056"/>
      <w:r>
        <w:t>apportion the Purchase Price between different parts of the Property.</w:t>
      </w:r>
      <w:bookmarkEnd w:id="31"/>
    </w:p>
    <w:p w14:paraId="69E863E0" w14:textId="77777777" w:rsidR="00AC2926" w:rsidRDefault="009E5720" w:rsidP="005F726A">
      <w:pPr>
        <w:pStyle w:val="TitleClause"/>
      </w:pPr>
      <w:r>
        <w:fldChar w:fldCharType="begin"/>
      </w:r>
      <w:r>
        <w:instrText>TC "3. Conditions" \l 1</w:instrText>
      </w:r>
      <w:r>
        <w:fldChar w:fldCharType="end"/>
      </w:r>
      <w:bookmarkStart w:id="32" w:name="a421364"/>
      <w:bookmarkStart w:id="33" w:name="_Toc173414071"/>
      <w:r>
        <w:t>Conditions</w:t>
      </w:r>
      <w:bookmarkEnd w:id="32"/>
      <w:bookmarkEnd w:id="33"/>
    </w:p>
    <w:p w14:paraId="134C6A62" w14:textId="77777777" w:rsidR="00AC2926" w:rsidRDefault="009E5720" w:rsidP="005F726A">
      <w:pPr>
        <w:pStyle w:val="Untitledsubclause1"/>
      </w:pPr>
      <w:bookmarkStart w:id="34" w:name="a482861"/>
      <w:r>
        <w:t>The Part 1 Conditions are incorporated in this contract so far as they:</w:t>
      </w:r>
      <w:bookmarkEnd w:id="34"/>
    </w:p>
    <w:p w14:paraId="7599FB8E" w14:textId="77777777" w:rsidR="00AC2926" w:rsidRDefault="009E5720" w:rsidP="005F726A">
      <w:pPr>
        <w:pStyle w:val="Untitledsubclause2"/>
      </w:pPr>
      <w:bookmarkStart w:id="35" w:name="a767212"/>
      <w:r>
        <w:t xml:space="preserve">apply to a sale by private </w:t>
      </w:r>
      <w:proofErr w:type="gramStart"/>
      <w:r>
        <w:t>treaty;</w:t>
      </w:r>
      <w:bookmarkEnd w:id="35"/>
      <w:proofErr w:type="gramEnd"/>
    </w:p>
    <w:p w14:paraId="2F545B24" w14:textId="77777777" w:rsidR="00AC2926" w:rsidRDefault="009E5720" w:rsidP="005F726A">
      <w:pPr>
        <w:pStyle w:val="Untitledsubclause2"/>
      </w:pPr>
      <w:bookmarkStart w:id="36" w:name="a179739"/>
      <w:r>
        <w:t xml:space="preserve">relate to freehold </w:t>
      </w:r>
      <w:proofErr w:type="gramStart"/>
      <w:r>
        <w:t>property;</w:t>
      </w:r>
      <w:bookmarkEnd w:id="36"/>
      <w:proofErr w:type="gramEnd"/>
    </w:p>
    <w:p w14:paraId="523944ED" w14:textId="77777777" w:rsidR="00AC2926" w:rsidRDefault="009E5720" w:rsidP="005F726A">
      <w:pPr>
        <w:pStyle w:val="Untitledsubclause2"/>
      </w:pPr>
      <w:bookmarkStart w:id="37" w:name="a207738"/>
      <w:r>
        <w:t>are not inconsistent with the other clauses in this contract; and</w:t>
      </w:r>
      <w:bookmarkEnd w:id="37"/>
    </w:p>
    <w:p w14:paraId="7A16118F" w14:textId="77777777" w:rsidR="00AC2926" w:rsidRDefault="009E5720" w:rsidP="005F726A">
      <w:pPr>
        <w:pStyle w:val="Untitledsubclause2"/>
      </w:pPr>
      <w:bookmarkStart w:id="38" w:name="a389320"/>
      <w:r>
        <w:t>have not been modified or excluded by any of the other clauses in this contract.</w:t>
      </w:r>
      <w:bookmarkEnd w:id="38"/>
    </w:p>
    <w:p w14:paraId="3BAC9682" w14:textId="77777777" w:rsidR="00AC2926" w:rsidRDefault="009E5720" w:rsidP="005F726A">
      <w:pPr>
        <w:pStyle w:val="Untitledsubclause1"/>
      </w:pPr>
      <w:bookmarkStart w:id="39" w:name="a202170"/>
      <w:r>
        <w:t>The terms used in this contract have the same meaning when used in the Part 1 Conditions.</w:t>
      </w:r>
      <w:bookmarkEnd w:id="39"/>
    </w:p>
    <w:p w14:paraId="6716C0EE" w14:textId="77777777" w:rsidR="00AC2926" w:rsidRDefault="009E5720" w:rsidP="005F726A">
      <w:pPr>
        <w:pStyle w:val="Untitledsubclause1"/>
      </w:pPr>
      <w:bookmarkStart w:id="40" w:name="a491423"/>
      <w:r>
        <w:t>The following Conditions are amended:</w:t>
      </w:r>
      <w:bookmarkEnd w:id="40"/>
    </w:p>
    <w:p w14:paraId="6EF46424" w14:textId="77777777" w:rsidR="00AC2926" w:rsidRDefault="009E5720" w:rsidP="005F726A">
      <w:pPr>
        <w:pStyle w:val="Untitledsubclause2"/>
      </w:pPr>
      <w:bookmarkStart w:id="41" w:name="a198634"/>
      <w:r>
        <w:t>Condition 1.1.1(d) is amended so that reference to the completion date in Condition 1.1.1(d) refers instead to the Completion Date as defined in this contract.</w:t>
      </w:r>
      <w:bookmarkEnd w:id="41"/>
    </w:p>
    <w:p w14:paraId="30B2B8AF" w14:textId="77777777" w:rsidR="00AC2926" w:rsidRDefault="009E5720" w:rsidP="005F726A">
      <w:pPr>
        <w:pStyle w:val="Untitledsubclause2"/>
      </w:pPr>
      <w:bookmarkStart w:id="42" w:name="a221233"/>
      <w:r>
        <w:t>Condition 1.1.1(e) is amended so that reference to the contract rate in Condition 1.1.1(e) refers instead to the Contract Rate as defined in this contract.</w:t>
      </w:r>
      <w:bookmarkEnd w:id="42"/>
    </w:p>
    <w:p w14:paraId="5363D1F0" w14:textId="77777777" w:rsidR="00AC2926" w:rsidRDefault="009E5720" w:rsidP="005F726A">
      <w:pPr>
        <w:pStyle w:val="Untitledsubclause2"/>
      </w:pPr>
      <w:bookmarkStart w:id="43" w:name="a175732"/>
      <w:r>
        <w:t>Condition 1.1.1(o) is amended so that reference to VAT in Condition 1.1.1(o) refers instead to VAT as defined in this contract.</w:t>
      </w:r>
      <w:bookmarkEnd w:id="43"/>
    </w:p>
    <w:p w14:paraId="3779BF27" w14:textId="78BA7D39" w:rsidR="00AC2926" w:rsidRDefault="009E5720" w:rsidP="005F726A">
      <w:pPr>
        <w:pStyle w:val="Untitledsubclause2"/>
      </w:pPr>
      <w:bookmarkStart w:id="44" w:name="a246751"/>
      <w:r>
        <w:lastRenderedPageBreak/>
        <w:t>Condition 7.6.3 is amended so that reference to "Condition 4.1.2" is reference to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44"/>
    </w:p>
    <w:p w14:paraId="54A70246" w14:textId="77777777" w:rsidR="00AC2926" w:rsidRDefault="009E5720" w:rsidP="005F726A">
      <w:pPr>
        <w:pStyle w:val="Untitledsubclause1"/>
      </w:pPr>
      <w:bookmarkStart w:id="45" w:name="a774951"/>
      <w:r>
        <w:t>Condition 1.1.4(a) does not apply to this contract.</w:t>
      </w:r>
      <w:bookmarkEnd w:id="45"/>
    </w:p>
    <w:p w14:paraId="2D411CC8" w14:textId="77777777" w:rsidR="00AC2926" w:rsidRDefault="009E5720" w:rsidP="005F726A">
      <w:pPr>
        <w:pStyle w:val="Untitledsubclause1"/>
      </w:pPr>
      <w:bookmarkStart w:id="46" w:name="a573833"/>
      <w:r>
        <w:t>The Part 2 Conditions are not incorporated into this contract.</w:t>
      </w:r>
      <w:bookmarkEnd w:id="46"/>
    </w:p>
    <w:p w14:paraId="35F9E1F3" w14:textId="77777777" w:rsidR="00AC2926" w:rsidRDefault="009E5720" w:rsidP="005F726A">
      <w:pPr>
        <w:pStyle w:val="TitleClause"/>
      </w:pPr>
      <w:r>
        <w:fldChar w:fldCharType="begin"/>
      </w:r>
      <w:r>
        <w:instrText>TC "4. Risk and insurance" \l 1</w:instrText>
      </w:r>
      <w:r>
        <w:fldChar w:fldCharType="end"/>
      </w:r>
      <w:bookmarkStart w:id="47" w:name="a346595"/>
      <w:bookmarkStart w:id="48" w:name="_Toc173414072"/>
      <w:r>
        <w:t>Risk and insurance</w:t>
      </w:r>
      <w:bookmarkEnd w:id="47"/>
      <w:bookmarkEnd w:id="48"/>
    </w:p>
    <w:p w14:paraId="4E5DF115" w14:textId="77777777" w:rsidR="00AC2926" w:rsidRDefault="009E5720" w:rsidP="005F726A">
      <w:pPr>
        <w:pStyle w:val="Untitledsubclause1"/>
      </w:pPr>
      <w:bookmarkStart w:id="49" w:name="a707169"/>
      <w:r>
        <w:t xml:space="preserve">With effect from exchange of this </w:t>
      </w:r>
      <w:r>
        <w:rPr>
          <w:bCs/>
        </w:rPr>
        <w:t>contract</w:t>
      </w:r>
      <w:r>
        <w:t>, the Property is at the Buyer’s risk and the Seller is under no obligation to the Buyer to insure the Property.</w:t>
      </w:r>
      <w:bookmarkEnd w:id="49"/>
    </w:p>
    <w:p w14:paraId="04F68940" w14:textId="77777777" w:rsidR="00AC2926" w:rsidRDefault="009E5720" w:rsidP="005F726A">
      <w:pPr>
        <w:pStyle w:val="Untitledsubclause1"/>
      </w:pPr>
      <w:bookmarkStart w:id="50" w:name="a94288"/>
      <w:r>
        <w:t>No damage to or destruction of the Property nor any deterioration in its condition, however caused, shall entitle the Buyer either to any reduction of the Purchase Price or to refuse to complete or to delay completion.</w:t>
      </w:r>
      <w:bookmarkEnd w:id="50"/>
    </w:p>
    <w:p w14:paraId="00FC0ED5" w14:textId="77777777" w:rsidR="00AC2926" w:rsidRDefault="009E5720" w:rsidP="005F726A">
      <w:pPr>
        <w:pStyle w:val="Untitledsubclause1"/>
      </w:pPr>
      <w:bookmarkStart w:id="51" w:name="a464089"/>
      <w:r>
        <w:t xml:space="preserve">Conditions 8.2.2, 8.2.3 and 8.2.4(b) do not apply to this </w:t>
      </w:r>
      <w:r>
        <w:rPr>
          <w:b/>
        </w:rPr>
        <w:t>contract</w:t>
      </w:r>
      <w:r>
        <w:t>.</w:t>
      </w:r>
      <w:bookmarkEnd w:id="51"/>
    </w:p>
    <w:p w14:paraId="60D1A5CB" w14:textId="77777777" w:rsidR="00AC2926" w:rsidRDefault="009E5720" w:rsidP="005F726A">
      <w:pPr>
        <w:pStyle w:val="TitleClause"/>
      </w:pPr>
      <w:r>
        <w:fldChar w:fldCharType="begin"/>
      </w:r>
      <w:r>
        <w:instrText>TC "5. Deposit" \l 1</w:instrText>
      </w:r>
      <w:r>
        <w:fldChar w:fldCharType="end"/>
      </w:r>
      <w:bookmarkStart w:id="52" w:name="a354685"/>
      <w:bookmarkStart w:id="53" w:name="_Toc173414073"/>
      <w:r>
        <w:t>Deposit</w:t>
      </w:r>
      <w:bookmarkEnd w:id="52"/>
      <w:bookmarkEnd w:id="53"/>
    </w:p>
    <w:p w14:paraId="65D24139" w14:textId="77777777" w:rsidR="00AC2926" w:rsidRDefault="009E5720" w:rsidP="005F726A">
      <w:pPr>
        <w:pStyle w:val="Untitledsubclause1"/>
      </w:pPr>
      <w:bookmarkStart w:id="54" w:name="a151740"/>
      <w:r>
        <w:t xml:space="preserve">On the date of this </w:t>
      </w:r>
      <w:r>
        <w:rPr>
          <w:b/>
        </w:rPr>
        <w:t>contract</w:t>
      </w:r>
      <w:r>
        <w:t>, the Buyer shall pay the Deposit to the Seller's Conveyancer to be held by the Seller's Conveyancer as stakeholder on terms that on completion the Deposit is paid to the Seller with accrued interest.</w:t>
      </w:r>
      <w:bookmarkEnd w:id="54"/>
    </w:p>
    <w:p w14:paraId="4E1D2343" w14:textId="77777777" w:rsidR="00AC2926" w:rsidRDefault="009E5720" w:rsidP="005F726A">
      <w:pPr>
        <w:pStyle w:val="Untitledsubclause1"/>
      </w:pPr>
      <w:bookmarkStart w:id="55" w:name="a760575"/>
      <w:r>
        <w:t xml:space="preserve">The Deposit must be paid by </w:t>
      </w:r>
      <w:r>
        <w:rPr>
          <w:bCs/>
        </w:rPr>
        <w:t>Electronic Payment</w:t>
      </w:r>
      <w:r>
        <w:t>.</w:t>
      </w:r>
      <w:bookmarkEnd w:id="55"/>
    </w:p>
    <w:p w14:paraId="4EDEAF56" w14:textId="77777777" w:rsidR="00AC2926" w:rsidRDefault="009E5720" w:rsidP="005F726A">
      <w:pPr>
        <w:pStyle w:val="Untitledsubclause1"/>
      </w:pPr>
      <w:bookmarkStart w:id="56" w:name="a307666"/>
      <w:r>
        <w:t xml:space="preserve">Conditions 3.2.1, 3.2.2 and 9.8.3 do not apply to this </w:t>
      </w:r>
      <w:r>
        <w:rPr>
          <w:bCs/>
        </w:rPr>
        <w:t>contract</w:t>
      </w:r>
      <w:r>
        <w:t>.</w:t>
      </w:r>
      <w:bookmarkEnd w:id="56"/>
    </w:p>
    <w:p w14:paraId="4FF94298" w14:textId="0BD6F1D2" w:rsidR="00AC2926" w:rsidRDefault="009E5720" w:rsidP="005F726A">
      <w:pPr>
        <w:pStyle w:val="Untitledsubclause1"/>
      </w:pPr>
      <w:bookmarkStart w:id="57" w:name="a974009"/>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to </w:t>
      </w:r>
      <w:r>
        <w:fldChar w:fldCharType="begin"/>
      </w:r>
      <w:r>
        <w:instrText>PAGEREF a276891\# "'clause '"  \h</w:instrText>
      </w:r>
      <w:r>
        <w:fldChar w:fldCharType="separate"/>
      </w:r>
      <w:r w:rsidR="00896E84">
        <w:rPr>
          <w:noProof/>
        </w:rPr>
        <w:t xml:space="preserve">clause </w:t>
      </w:r>
      <w:r>
        <w:fldChar w:fldCharType="end"/>
      </w:r>
      <w:r>
        <w:fldChar w:fldCharType="begin"/>
      </w:r>
      <w:r>
        <w:rPr>
          <w:highlight w:val="lightGray"/>
        </w:rPr>
        <w:instrText>REF a276891 \h \w</w:instrText>
      </w:r>
      <w:r>
        <w:fldChar w:fldCharType="separate"/>
      </w:r>
      <w:r w:rsidR="00896E84">
        <w:rPr>
          <w:highlight w:val="lightGray"/>
        </w:rPr>
        <w:t>5.8</w:t>
      </w:r>
      <w:r>
        <w:fldChar w:fldCharType="end"/>
      </w:r>
      <w:r>
        <w:t xml:space="preserve"> (inclusive) will only apply if:</w:t>
      </w:r>
      <w:bookmarkEnd w:id="57"/>
    </w:p>
    <w:p w14:paraId="287C9E95" w14:textId="77777777" w:rsidR="00AC2926" w:rsidRDefault="009E5720" w:rsidP="005F726A">
      <w:pPr>
        <w:pStyle w:val="Untitledsubclause2"/>
      </w:pPr>
      <w:bookmarkStart w:id="58" w:name="a1015783"/>
      <w:r>
        <w:t>the Deposit is less than 10% of the Purchase Price; or</w:t>
      </w:r>
      <w:bookmarkEnd w:id="58"/>
    </w:p>
    <w:p w14:paraId="4FDC7A0B" w14:textId="77777777" w:rsidR="00AC2926" w:rsidRDefault="009E5720" w:rsidP="005F726A">
      <w:pPr>
        <w:pStyle w:val="Untitledsubclause2"/>
      </w:pPr>
      <w:bookmarkStart w:id="59" w:name="a424549"/>
      <w:r>
        <w:t xml:space="preserve">no Deposit is payable on the date of this </w:t>
      </w:r>
      <w:r>
        <w:rPr>
          <w:bCs/>
        </w:rPr>
        <w:t>contract</w:t>
      </w:r>
      <w:r>
        <w:t>.</w:t>
      </w:r>
      <w:bookmarkEnd w:id="59"/>
    </w:p>
    <w:p w14:paraId="5842CF83" w14:textId="77777777" w:rsidR="00AC2926" w:rsidRDefault="009E5720" w:rsidP="005F726A">
      <w:pPr>
        <w:pStyle w:val="Untitledsubclause1"/>
      </w:pPr>
      <w:bookmarkStart w:id="60" w:name="a944391"/>
      <w:r>
        <w:t xml:space="preserve">In this clause, the expression </w:t>
      </w:r>
      <w:r>
        <w:rPr>
          <w:rStyle w:val="DefTerm"/>
        </w:rPr>
        <w:t>Deposit Balance</w:t>
      </w:r>
      <w:r>
        <w:t xml:space="preserve"> means:</w:t>
      </w:r>
      <w:bookmarkEnd w:id="60"/>
    </w:p>
    <w:p w14:paraId="161FB46D" w14:textId="77777777" w:rsidR="00AC2926" w:rsidRDefault="009E5720" w:rsidP="005F726A">
      <w:pPr>
        <w:pStyle w:val="Untitledsubclause2"/>
      </w:pPr>
      <w:bookmarkStart w:id="61" w:name="a384863"/>
      <w:r>
        <w:t>(where the Deposit is less than 10% of the Purchase Price) the sum calculated by deducting the Deposit from 10% of the Purchase Price; or</w:t>
      </w:r>
      <w:bookmarkEnd w:id="61"/>
    </w:p>
    <w:p w14:paraId="59597949" w14:textId="77777777" w:rsidR="00AC2926" w:rsidRDefault="009E5720" w:rsidP="005F726A">
      <w:pPr>
        <w:pStyle w:val="Untitledsubclause2"/>
      </w:pPr>
      <w:bookmarkStart w:id="62" w:name="a269642"/>
      <w:r>
        <w:t xml:space="preserve">(where no Deposit is payable on the date of this </w:t>
      </w:r>
      <w:r>
        <w:rPr>
          <w:bCs/>
        </w:rPr>
        <w:t>contract)</w:t>
      </w:r>
      <w:r>
        <w:t xml:space="preserve"> a sum equal to 10% of the Purchase Price.</w:t>
      </w:r>
      <w:bookmarkEnd w:id="62"/>
    </w:p>
    <w:p w14:paraId="588ECE7E" w14:textId="77777777" w:rsidR="00AC2926" w:rsidRDefault="009E5720" w:rsidP="005F726A">
      <w:pPr>
        <w:pStyle w:val="Untitledsubclause1"/>
      </w:pPr>
      <w:bookmarkStart w:id="63" w:name="a661309"/>
      <w:r>
        <w:t xml:space="preserve">If completion does not take place on the Completion Date due to the default of the Buyer, the Buyer will immediately pay to the Seller's Conveyancer the Deposit Balance (together with interest on it at the </w:t>
      </w:r>
      <w:r>
        <w:rPr>
          <w:b/>
        </w:rPr>
        <w:t>Contract Rate</w:t>
      </w:r>
      <w:r>
        <w:t xml:space="preserve"> for the period from and including the Completion Date to and including the date of actual payment) by Electronic Payment.</w:t>
      </w:r>
      <w:bookmarkEnd w:id="63"/>
    </w:p>
    <w:p w14:paraId="7994A3F7" w14:textId="1BE7A54A" w:rsidR="00AC2926" w:rsidRDefault="009E5720" w:rsidP="005F726A">
      <w:pPr>
        <w:pStyle w:val="Untitledsubclause1"/>
      </w:pPr>
      <w:bookmarkStart w:id="64" w:name="a483378"/>
      <w:r>
        <w:lastRenderedPageBreak/>
        <w:t xml:space="preserve">After the Deposit Balance has been paid pursuant to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it will be treated as forming part of the Deposit for all purposes of this </w:t>
      </w:r>
      <w:r>
        <w:rPr>
          <w:bCs/>
        </w:rPr>
        <w:t>contract</w:t>
      </w:r>
      <w:r>
        <w:t>.</w:t>
      </w:r>
      <w:bookmarkEnd w:id="64"/>
    </w:p>
    <w:p w14:paraId="56634605" w14:textId="05F06D21" w:rsidR="00AC2926" w:rsidRDefault="009E5720" w:rsidP="005F726A">
      <w:pPr>
        <w:pStyle w:val="Untitledsubclause1"/>
      </w:pPr>
      <w:bookmarkStart w:id="65" w:name="a276891"/>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and </w:t>
      </w:r>
      <w:r>
        <w:fldChar w:fldCharType="begin"/>
      </w:r>
      <w:r>
        <w:instrText>PAGEREF a483378\# "'clause '"  \h</w:instrText>
      </w:r>
      <w:r>
        <w:fldChar w:fldCharType="separate"/>
      </w:r>
      <w:r w:rsidR="00896E84">
        <w:rPr>
          <w:noProof/>
        </w:rPr>
        <w:t xml:space="preserve">clause </w:t>
      </w:r>
      <w:r>
        <w:fldChar w:fldCharType="end"/>
      </w:r>
      <w:r>
        <w:fldChar w:fldCharType="begin"/>
      </w:r>
      <w:r>
        <w:rPr>
          <w:highlight w:val="lightGray"/>
        </w:rPr>
        <w:instrText>REF a483378 \h \w</w:instrText>
      </w:r>
      <w:r>
        <w:fldChar w:fldCharType="separate"/>
      </w:r>
      <w:r w:rsidR="00896E84">
        <w:rPr>
          <w:highlight w:val="lightGray"/>
        </w:rPr>
        <w:t>5.7</w:t>
      </w:r>
      <w:r>
        <w:fldChar w:fldCharType="end"/>
      </w:r>
      <w:r>
        <w:t xml:space="preserve"> (inclusive) are without prejudice to any other rights or remedies of the Seller in relation to any delay in completion.</w:t>
      </w:r>
      <w:bookmarkEnd w:id="65"/>
    </w:p>
    <w:p w14:paraId="3982216E" w14:textId="77777777" w:rsidR="00AC2926" w:rsidRDefault="009E5720" w:rsidP="005F726A">
      <w:pPr>
        <w:pStyle w:val="TitleClause"/>
      </w:pPr>
      <w:r>
        <w:fldChar w:fldCharType="begin"/>
      </w:r>
      <w:r>
        <w:instrText>TC "6. Deducing title" \l 1</w:instrText>
      </w:r>
      <w:r>
        <w:fldChar w:fldCharType="end"/>
      </w:r>
      <w:bookmarkStart w:id="66" w:name="a934068"/>
      <w:bookmarkStart w:id="67" w:name="_Toc173414074"/>
      <w:r>
        <w:t>Deducing title</w:t>
      </w:r>
      <w:bookmarkEnd w:id="66"/>
      <w:bookmarkEnd w:id="67"/>
    </w:p>
    <w:p w14:paraId="46C31608" w14:textId="77777777" w:rsidR="00791604" w:rsidRDefault="009E5720" w:rsidP="005F726A">
      <w:pPr>
        <w:pStyle w:val="Untitledsubclause1"/>
      </w:pPr>
      <w:bookmarkStart w:id="68" w:name="a944749"/>
      <w:r>
        <w:t>The Seller's title to the Property has been deduced to the Buyer's Conveyancer before the date of this contract.</w:t>
      </w:r>
      <w:bookmarkStart w:id="69" w:name="a72017"/>
      <w:bookmarkEnd w:id="68"/>
      <w:r w:rsidR="00791604">
        <w:t xml:space="preserve"> </w:t>
      </w:r>
    </w:p>
    <w:p w14:paraId="29B667A2" w14:textId="77777777" w:rsidR="00AC2926" w:rsidRDefault="009E5720" w:rsidP="005F726A">
      <w:pPr>
        <w:pStyle w:val="Untitledsubclause1"/>
      </w:pPr>
      <w:bookmarkStart w:id="70" w:name="a912705"/>
      <w:bookmarkEnd w:id="69"/>
      <w:r>
        <w:t>The Buyer is deemed to have full knowledge of the title and is not entitled to raise any objection, enquiry or requisition in relation to it.</w:t>
      </w:r>
      <w:bookmarkEnd w:id="70"/>
    </w:p>
    <w:p w14:paraId="55B28DCA" w14:textId="77777777" w:rsidR="00AC2926" w:rsidRDefault="009E5720" w:rsidP="005F726A">
      <w:pPr>
        <w:pStyle w:val="Untitledsubclause1"/>
      </w:pPr>
      <w:bookmarkStart w:id="71" w:name="a1008837"/>
      <w:r>
        <w:t xml:space="preserve">Conditions 7.1, 7.2, 7.3.1 and 7.4.2 do not apply to this </w:t>
      </w:r>
      <w:r>
        <w:rPr>
          <w:bCs/>
        </w:rPr>
        <w:t>contract</w:t>
      </w:r>
      <w:r>
        <w:t>.</w:t>
      </w:r>
      <w:bookmarkEnd w:id="71"/>
    </w:p>
    <w:p w14:paraId="3DF6535A" w14:textId="7F970AF4" w:rsidR="00AC2926" w:rsidRDefault="009E5720" w:rsidP="005F726A">
      <w:pPr>
        <w:pStyle w:val="TitleClause"/>
      </w:pPr>
      <w:r>
        <w:fldChar w:fldCharType="begin"/>
      </w:r>
      <w:r>
        <w:instrText>TC "7. Vacant possession [and Contents]" \l 1</w:instrText>
      </w:r>
      <w:r>
        <w:fldChar w:fldCharType="end"/>
      </w:r>
      <w:bookmarkStart w:id="72" w:name="a405528"/>
      <w:bookmarkStart w:id="73" w:name="_Toc173414075"/>
      <w:r>
        <w:t>Vacant possession</w:t>
      </w:r>
      <w:bookmarkEnd w:id="72"/>
      <w:bookmarkEnd w:id="73"/>
    </w:p>
    <w:p w14:paraId="2DE87CC9" w14:textId="5EEE07A2" w:rsidR="00AC2926" w:rsidRDefault="009E5720" w:rsidP="005F726A">
      <w:pPr>
        <w:pStyle w:val="Untitledsubclause1"/>
      </w:pPr>
      <w:bookmarkStart w:id="74" w:name="a998190"/>
      <w:r>
        <w:t xml:space="preserve">The Property will be sold </w:t>
      </w:r>
      <w:r w:rsidR="00803912">
        <w:t>subject to the terms of a grazing licence dated 18</w:t>
      </w:r>
      <w:r w:rsidR="00803912" w:rsidRPr="00803912">
        <w:rPr>
          <w:vertAlign w:val="superscript"/>
        </w:rPr>
        <w:t>th</w:t>
      </w:r>
      <w:r w:rsidR="00803912">
        <w:t xml:space="preserve"> January 2024 and made between The </w:t>
      </w:r>
      <w:proofErr w:type="spellStart"/>
      <w:r w:rsidR="00803912">
        <w:t>Greenop</w:t>
      </w:r>
      <w:proofErr w:type="spellEnd"/>
      <w:r w:rsidR="00803912">
        <w:t xml:space="preserve"> Partnership (1) and Mr &amp; Mrs D </w:t>
      </w:r>
      <w:proofErr w:type="spellStart"/>
      <w:r w:rsidR="00803912">
        <w:t>Chappelhow</w:t>
      </w:r>
      <w:proofErr w:type="spellEnd"/>
      <w:r w:rsidR="00803912">
        <w:t xml:space="preserve"> (2) which expires on 25</w:t>
      </w:r>
      <w:r w:rsidR="00803912" w:rsidRPr="00803912">
        <w:rPr>
          <w:vertAlign w:val="superscript"/>
        </w:rPr>
        <w:t>th</w:t>
      </w:r>
      <w:r w:rsidR="00803912">
        <w:t xml:space="preserve"> February 2025.</w:t>
      </w:r>
      <w:bookmarkEnd w:id="74"/>
    </w:p>
    <w:p w14:paraId="0D841F89" w14:textId="77777777" w:rsidR="00AC2926" w:rsidRDefault="009E5720" w:rsidP="005F726A">
      <w:pPr>
        <w:pStyle w:val="TitleClause"/>
      </w:pPr>
      <w:r>
        <w:fldChar w:fldCharType="begin"/>
      </w:r>
      <w:r>
        <w:instrText>TC "8. Title guarantee" \l 1</w:instrText>
      </w:r>
      <w:r>
        <w:fldChar w:fldCharType="end"/>
      </w:r>
      <w:bookmarkStart w:id="75" w:name="a585629"/>
      <w:bookmarkStart w:id="76" w:name="_Toc173414076"/>
      <w:r>
        <w:t>Title guarantee</w:t>
      </w:r>
      <w:bookmarkEnd w:id="75"/>
      <w:bookmarkEnd w:id="76"/>
    </w:p>
    <w:p w14:paraId="20BA9540" w14:textId="505E5429" w:rsidR="00AC2926" w:rsidRDefault="009E5720" w:rsidP="005F726A">
      <w:pPr>
        <w:pStyle w:val="Untitledsubclause1"/>
      </w:pPr>
      <w:bookmarkStart w:id="77" w:name="a724486"/>
      <w:r>
        <w:t>Subject to the other provisions of this clause, the Seller shall transfer the Property with limited title guarantee.</w:t>
      </w:r>
      <w:bookmarkEnd w:id="77"/>
    </w:p>
    <w:p w14:paraId="30FC80DB" w14:textId="4DCF8521" w:rsidR="00AC2926" w:rsidRDefault="009E5720" w:rsidP="005F726A">
      <w:pPr>
        <w:pStyle w:val="Untitledsubclause1"/>
      </w:pPr>
      <w:r>
        <w:fldChar w:fldCharType="begin"/>
      </w:r>
      <w:r>
        <w:fldChar w:fldCharType="end"/>
      </w:r>
      <w:bookmarkStart w:id="78" w:name="a920980"/>
      <w:r>
        <w:t>The implied covenants for title are modified so that:</w:t>
      </w:r>
      <w:bookmarkEnd w:id="78"/>
    </w:p>
    <w:p w14:paraId="61E82BC5" w14:textId="2D3333D5" w:rsidR="00AC2926" w:rsidRDefault="009E5720" w:rsidP="005F726A">
      <w:pPr>
        <w:pStyle w:val="Untitledsubclause2"/>
      </w:pPr>
      <w:r>
        <w:fldChar w:fldCharType="begin"/>
      </w:r>
      <w:r>
        <w:fldChar w:fldCharType="end"/>
      </w:r>
      <w:bookmarkStart w:id="79" w:name="a95928"/>
      <w:r>
        <w:t>the covenant set out in section 2(1)(b) of the Law of Property (Miscellaneous Provisions) Act 1994 will not extend to costs arising from the Buyer's failure to:</w:t>
      </w:r>
      <w:bookmarkEnd w:id="79"/>
    </w:p>
    <w:p w14:paraId="22E41915" w14:textId="77777777" w:rsidR="00AC2926" w:rsidRDefault="009E5720" w:rsidP="005F726A">
      <w:pPr>
        <w:pStyle w:val="Untitledsubclause3"/>
      </w:pPr>
      <w:bookmarkStart w:id="80" w:name="a809554"/>
      <w:r>
        <w:t>make proper searches; or</w:t>
      </w:r>
      <w:bookmarkEnd w:id="80"/>
    </w:p>
    <w:p w14:paraId="23A2FF6A" w14:textId="3A256635" w:rsidR="00AC2926" w:rsidRDefault="009E5720" w:rsidP="005F726A">
      <w:pPr>
        <w:pStyle w:val="Untitledsubclause3"/>
      </w:pPr>
      <w:bookmarkStart w:id="81" w:name="a789012"/>
      <w:r>
        <w:t>raise requisitions on title or on the results of the Buyer's searches; and</w:t>
      </w:r>
      <w:bookmarkEnd w:id="81"/>
    </w:p>
    <w:p w14:paraId="3F2D559B" w14:textId="466DB349" w:rsidR="00AC2926" w:rsidRDefault="009E5720" w:rsidP="005F726A">
      <w:pPr>
        <w:pStyle w:val="Untitledsubclause2"/>
      </w:pPr>
      <w:r>
        <w:fldChar w:fldCharType="begin"/>
      </w:r>
      <w:r>
        <w:fldChar w:fldCharType="end"/>
      </w:r>
      <w:bookmarkStart w:id="82" w:name="a700718"/>
      <w:r>
        <w:t>the covenant set out in section 3(3) of the Law of Property (Miscellaneous Provisions) Act 1994 shall extend only to charges or incumbrances created by the Seller.</w:t>
      </w:r>
      <w:bookmarkEnd w:id="82"/>
    </w:p>
    <w:p w14:paraId="507E58F7" w14:textId="77777777" w:rsidR="00AC2926" w:rsidRDefault="009E5720" w:rsidP="005F726A">
      <w:pPr>
        <w:pStyle w:val="Untitledsubclause1"/>
      </w:pPr>
      <w:bookmarkStart w:id="83" w:name="a307915"/>
      <w:r>
        <w:t xml:space="preserve">Condition 7.6.2 does not apply to this </w:t>
      </w:r>
      <w:r>
        <w:rPr>
          <w:b/>
        </w:rPr>
        <w:t>contract</w:t>
      </w:r>
      <w:r>
        <w:t>.</w:t>
      </w:r>
      <w:bookmarkEnd w:id="83"/>
    </w:p>
    <w:p w14:paraId="1A27E5FB" w14:textId="77777777" w:rsidR="00AC2926" w:rsidRDefault="009E5720" w:rsidP="005F726A">
      <w:pPr>
        <w:pStyle w:val="TitleClause"/>
      </w:pPr>
      <w:r>
        <w:fldChar w:fldCharType="begin"/>
      </w:r>
      <w:r>
        <w:instrText>TC "9. Matters affecting the Property" \l 1</w:instrText>
      </w:r>
      <w:r>
        <w:fldChar w:fldCharType="end"/>
      </w:r>
      <w:bookmarkStart w:id="84" w:name="a557630"/>
      <w:bookmarkStart w:id="85" w:name="_Toc173414077"/>
      <w:r>
        <w:t>Matters affecting the Property</w:t>
      </w:r>
      <w:bookmarkEnd w:id="84"/>
      <w:bookmarkEnd w:id="85"/>
    </w:p>
    <w:p w14:paraId="07AE9764" w14:textId="77777777" w:rsidR="00AC2926" w:rsidRDefault="009E5720" w:rsidP="005F726A">
      <w:pPr>
        <w:pStyle w:val="Untitledsubclause1"/>
      </w:pPr>
      <w:bookmarkStart w:id="86" w:name="a542904"/>
      <w:r>
        <w:t>The Seller shall transfer the Property free from incumbrances other than:</w:t>
      </w:r>
      <w:bookmarkEnd w:id="86"/>
    </w:p>
    <w:p w14:paraId="4FF29C90" w14:textId="133F6128" w:rsidR="00AC2926" w:rsidRDefault="009E5720" w:rsidP="005F726A">
      <w:pPr>
        <w:pStyle w:val="Untitledsubclause2"/>
      </w:pPr>
      <w:bookmarkStart w:id="87" w:name="a852662"/>
      <w:r>
        <w:lastRenderedPageBreak/>
        <w:t xml:space="preserve">any matters contained or referred to in the entries or records made in registers maintained by HM Land Registry as </w:t>
      </w:r>
      <w:proofErr w:type="gramStart"/>
      <w:r>
        <w:t>at</w:t>
      </w:r>
      <w:proofErr w:type="gramEnd"/>
      <w:r>
        <w:t xml:space="preserve"> </w:t>
      </w:r>
      <w:r w:rsidR="00803912">
        <w:t>5</w:t>
      </w:r>
      <w:r w:rsidR="00803912" w:rsidRPr="00803912">
        <w:rPr>
          <w:vertAlign w:val="superscript"/>
        </w:rPr>
        <w:t>th</w:t>
      </w:r>
      <w:r w:rsidR="00803912">
        <w:t xml:space="preserve"> January </w:t>
      </w:r>
      <w:r w:rsidR="00822E71">
        <w:t>2024 at 09:</w:t>
      </w:r>
      <w:r w:rsidR="00803912">
        <w:t>17</w:t>
      </w:r>
      <w:r w:rsidR="00822E71">
        <w:t>:</w:t>
      </w:r>
      <w:r w:rsidR="00803912">
        <w:t>10</w:t>
      </w:r>
      <w:r>
        <w:t xml:space="preserve"> under title number </w:t>
      </w:r>
      <w:r w:rsidR="00822E71">
        <w:t>CU</w:t>
      </w:r>
      <w:r w:rsidR="00803912">
        <w:t>332820</w:t>
      </w:r>
      <w:r>
        <w:t>;</w:t>
      </w:r>
      <w:bookmarkEnd w:id="87"/>
    </w:p>
    <w:p w14:paraId="296D13DC" w14:textId="77777777" w:rsidR="00AC2926" w:rsidRDefault="009E5720" w:rsidP="005F726A">
      <w:pPr>
        <w:pStyle w:val="Untitledsubclause2"/>
      </w:pPr>
      <w:bookmarkStart w:id="88" w:name="a923386"/>
      <w:r>
        <w:t xml:space="preserve">any matters discoverable by inspection of the Property before the date of this </w:t>
      </w:r>
      <w:proofErr w:type="gramStart"/>
      <w:r>
        <w:t>contract;</w:t>
      </w:r>
      <w:bookmarkEnd w:id="88"/>
      <w:proofErr w:type="gramEnd"/>
    </w:p>
    <w:p w14:paraId="589FA6B4" w14:textId="77777777" w:rsidR="00AC2926" w:rsidRDefault="009E5720" w:rsidP="005F726A">
      <w:pPr>
        <w:pStyle w:val="Untitledsubclause2"/>
      </w:pPr>
      <w:bookmarkStart w:id="89" w:name="a976793"/>
      <w:r>
        <w:t xml:space="preserve">any matters which the Seller does not and could not reasonably know </w:t>
      </w:r>
      <w:proofErr w:type="gramStart"/>
      <w:r>
        <w:t>about;</w:t>
      </w:r>
      <w:bookmarkEnd w:id="89"/>
      <w:proofErr w:type="gramEnd"/>
    </w:p>
    <w:p w14:paraId="7FCB21AD" w14:textId="35FDB9EE" w:rsidR="00AC2926" w:rsidRDefault="009E5720" w:rsidP="005F726A">
      <w:pPr>
        <w:pStyle w:val="Untitledsubclause2"/>
      </w:pPr>
      <w:bookmarkStart w:id="90" w:name="a816573"/>
      <w:r>
        <w:t xml:space="preserve">any matters, other than the </w:t>
      </w:r>
      <w:r w:rsidR="00803912">
        <w:t>financial c</w:t>
      </w:r>
      <w:r>
        <w:t xml:space="preserve">harges, disclosed or which would have been disclosed by the searches and enquiries which a prudent buyer would have made before entering into this </w:t>
      </w:r>
      <w:proofErr w:type="gramStart"/>
      <w:r>
        <w:t>contract;</w:t>
      </w:r>
      <w:proofErr w:type="gramEnd"/>
      <w:r>
        <w:t xml:space="preserve"> </w:t>
      </w:r>
      <w:bookmarkEnd w:id="90"/>
    </w:p>
    <w:p w14:paraId="2ED7E555" w14:textId="77777777" w:rsidR="00AC2926" w:rsidRDefault="009E5720" w:rsidP="005F726A">
      <w:pPr>
        <w:pStyle w:val="Untitledsubclause2"/>
      </w:pPr>
      <w:bookmarkStart w:id="91" w:name="a297233"/>
      <w:r>
        <w:t xml:space="preserve">public </w:t>
      </w:r>
      <w:proofErr w:type="gramStart"/>
      <w:r>
        <w:t>requirements;</w:t>
      </w:r>
      <w:bookmarkEnd w:id="91"/>
      <w:proofErr w:type="gramEnd"/>
    </w:p>
    <w:p w14:paraId="2B85AE8B" w14:textId="75F2F492" w:rsidR="00AC2926" w:rsidRDefault="009E5720" w:rsidP="005F726A">
      <w:pPr>
        <w:pStyle w:val="Untitledsubclause2"/>
      </w:pPr>
      <w:bookmarkStart w:id="92" w:name="a589674"/>
      <w:r>
        <w:t xml:space="preserve">any matters which are unregistered interests which override registered dispositions under Schedule 3 to the Land Registration Act 2002 </w:t>
      </w:r>
      <w:bookmarkEnd w:id="92"/>
    </w:p>
    <w:p w14:paraId="1C509E11" w14:textId="77777777" w:rsidR="00AC2926" w:rsidRDefault="009E5720" w:rsidP="005F726A">
      <w:pPr>
        <w:pStyle w:val="Untitledsubclause1"/>
      </w:pPr>
      <w:bookmarkStart w:id="93" w:name="a122039"/>
      <w:r>
        <w:t>Conditions 4.1.1, 4.1.2 and 4.1.3 do not apply to this contract.</w:t>
      </w:r>
      <w:bookmarkEnd w:id="93"/>
    </w:p>
    <w:p w14:paraId="5BCCB7EF" w14:textId="4733431A" w:rsidR="00AC2926" w:rsidRDefault="009E5720" w:rsidP="005F726A">
      <w:pPr>
        <w:pStyle w:val="Untitledsubclause1"/>
      </w:pPr>
      <w:bookmarkStart w:id="94" w:name="a792619"/>
      <w:r>
        <w:t xml:space="preserve">The Buyer is deemed to have full knowledge of the matters referred to in </w:t>
      </w:r>
      <w:r>
        <w:fldChar w:fldCharType="begin"/>
      </w:r>
      <w:r>
        <w:instrText>PAGEREF a542904\# "'clause '"  \h</w:instrText>
      </w:r>
      <w:r>
        <w:fldChar w:fldCharType="separate"/>
      </w:r>
      <w:r w:rsidR="00896E84">
        <w:rPr>
          <w:noProof/>
        </w:rPr>
        <w:t xml:space="preserve">clause </w:t>
      </w:r>
      <w:r>
        <w:fldChar w:fldCharType="end"/>
      </w:r>
      <w:r>
        <w:fldChar w:fldCharType="begin"/>
      </w:r>
      <w:r>
        <w:rPr>
          <w:highlight w:val="lightGray"/>
        </w:rPr>
        <w:instrText>REF a542904 \h \w</w:instrText>
      </w:r>
      <w:r>
        <w:fldChar w:fldCharType="separate"/>
      </w:r>
      <w:r w:rsidR="00896E84">
        <w:rPr>
          <w:highlight w:val="lightGray"/>
        </w:rPr>
        <w:t>9.1</w:t>
      </w:r>
      <w:r>
        <w:fldChar w:fldCharType="end"/>
      </w:r>
      <w:r>
        <w:t xml:space="preserve"> and will not raise any enquiry, objection, requisition or claim in respect of any of them.</w:t>
      </w:r>
      <w:bookmarkEnd w:id="94"/>
    </w:p>
    <w:p w14:paraId="57B929C8" w14:textId="77777777" w:rsidR="00AC2926" w:rsidRDefault="009E5720" w:rsidP="005F726A">
      <w:pPr>
        <w:pStyle w:val="TitleClause"/>
      </w:pPr>
      <w:r>
        <w:fldChar w:fldCharType="begin"/>
      </w:r>
      <w:r>
        <w:instrText>TC "10. Transfer" \l 1</w:instrText>
      </w:r>
      <w:r>
        <w:fldChar w:fldCharType="end"/>
      </w:r>
      <w:bookmarkStart w:id="95" w:name="a837936"/>
      <w:bookmarkStart w:id="96" w:name="_Toc173414078"/>
      <w:r>
        <w:t>Transfer</w:t>
      </w:r>
      <w:bookmarkEnd w:id="95"/>
      <w:bookmarkEnd w:id="96"/>
    </w:p>
    <w:p w14:paraId="7584D550" w14:textId="5C7A0546" w:rsidR="00AC2926" w:rsidRDefault="009E5720" w:rsidP="005F726A">
      <w:pPr>
        <w:pStyle w:val="Untitledsubclause1"/>
      </w:pPr>
      <w:bookmarkStart w:id="97" w:name="a233145"/>
      <w:r>
        <w:t>The transfer of the Property to the Buyer shall contain:</w:t>
      </w:r>
      <w:bookmarkEnd w:id="97"/>
    </w:p>
    <w:p w14:paraId="03F86157" w14:textId="6DB5B7F5" w:rsidR="00AC2926" w:rsidRDefault="009E5720" w:rsidP="005F726A">
      <w:pPr>
        <w:pStyle w:val="Untitledsubclause2"/>
      </w:pPr>
      <w:bookmarkStart w:id="98" w:name="a781938"/>
      <w:r>
        <w:t xml:space="preserve">a declaration as to the title guarantee with which the transfer is made as stated in this </w:t>
      </w:r>
      <w:proofErr w:type="gramStart"/>
      <w:r>
        <w:t>contract;</w:t>
      </w:r>
      <w:bookmarkEnd w:id="98"/>
      <w:proofErr w:type="gramEnd"/>
    </w:p>
    <w:p w14:paraId="6ABB0312" w14:textId="6F5F1BF3" w:rsidR="00AC2926" w:rsidRDefault="009E5720" w:rsidP="005F726A">
      <w:pPr>
        <w:pStyle w:val="Untitledsubclause2"/>
      </w:pPr>
      <w:r>
        <w:fldChar w:fldCharType="begin"/>
      </w:r>
      <w:r>
        <w:fldChar w:fldCharType="end"/>
      </w:r>
      <w:bookmarkStart w:id="99" w:name="a286969"/>
      <w:r>
        <w:t xml:space="preserve">a statement that the covenant set out in section 2(1)(b) of the Law of Property (Miscellaneous Provisions) Act 1994 will not extend to costs arising from the Transferee's failure to make proper searches or to raise requisitions on title or on the results of the Transferee's </w:t>
      </w:r>
      <w:proofErr w:type="gramStart"/>
      <w:r>
        <w:t>searches;</w:t>
      </w:r>
      <w:bookmarkEnd w:id="99"/>
      <w:proofErr w:type="gramEnd"/>
    </w:p>
    <w:p w14:paraId="2371B9C9" w14:textId="1E83FFC7" w:rsidR="00AC2926" w:rsidRDefault="009E5720" w:rsidP="005F726A">
      <w:pPr>
        <w:pStyle w:val="Untitledsubclause2"/>
      </w:pPr>
      <w:r>
        <w:fldChar w:fldCharType="begin"/>
      </w:r>
      <w:r>
        <w:fldChar w:fldCharType="end"/>
      </w:r>
      <w:bookmarkStart w:id="100" w:name="a360525"/>
      <w:r>
        <w:t xml:space="preserve">a statement that the covenants set out in section 3 of the Law of Property (Miscellaneous Provisions) Act 1994 shall extend only to charges or incumbrances created by the </w:t>
      </w:r>
      <w:proofErr w:type="gramStart"/>
      <w:r>
        <w:t>Transferor;</w:t>
      </w:r>
      <w:bookmarkEnd w:id="100"/>
      <w:proofErr w:type="gramEnd"/>
    </w:p>
    <w:p w14:paraId="5CF10B3E" w14:textId="3FEC0096" w:rsidR="00AC2926" w:rsidRDefault="009E5720" w:rsidP="005F726A">
      <w:pPr>
        <w:pStyle w:val="Untitledsubclause2"/>
      </w:pPr>
      <w:bookmarkStart w:id="101" w:name="a869980"/>
      <w:r>
        <w:t xml:space="preserve">a statement that the disposition effected by the transfer is made subject to all the matters to which this contract is made subject as set out in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101"/>
    </w:p>
    <w:p w14:paraId="26491E58" w14:textId="1439A6E2" w:rsidR="00AC2926" w:rsidRDefault="009E5720" w:rsidP="005F726A">
      <w:pPr>
        <w:pStyle w:val="Untitledsubclause2"/>
      </w:pPr>
      <w:bookmarkStart w:id="102" w:name="a137014"/>
      <w:r>
        <w:t xml:space="preserve">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w:t>
      </w:r>
      <w:proofErr w:type="gramStart"/>
      <w:r>
        <w:t>Act;</w:t>
      </w:r>
      <w:proofErr w:type="gramEnd"/>
      <w:r>
        <w:t xml:space="preserve"> </w:t>
      </w:r>
      <w:bookmarkEnd w:id="102"/>
    </w:p>
    <w:p w14:paraId="6913738F" w14:textId="774B5B74" w:rsidR="00803912" w:rsidRDefault="00803912" w:rsidP="005F726A">
      <w:pPr>
        <w:pStyle w:val="Untitledsubclause2"/>
      </w:pPr>
      <w:r>
        <w:t xml:space="preserve">a statement that the Property will not, by virtue of the transfer, have any rights or easements or the benefit of any other matters over land retained by the Seller other than those (if any) which are expressly mentioned in or granted by the </w:t>
      </w:r>
      <w:r>
        <w:lastRenderedPageBreak/>
        <w:t xml:space="preserve">transfer and a provision that Section 62 of the Law of Property Act 1925 is qualified so as not to include any </w:t>
      </w:r>
      <w:r w:rsidR="00540DBC">
        <w:t>liberties</w:t>
      </w:r>
      <w:r>
        <w:t xml:space="preserve">, privileges, easements, rights or </w:t>
      </w:r>
      <w:r w:rsidR="00540DBC">
        <w:t>advantages</w:t>
      </w:r>
      <w:r>
        <w:t xml:space="preserve"> over </w:t>
      </w:r>
      <w:r w:rsidR="00540DBC">
        <w:t>land</w:t>
      </w:r>
      <w:r>
        <w:t xml:space="preserve"> retained by the Seller except as </w:t>
      </w:r>
      <w:r w:rsidR="00540DBC">
        <w:t>expressly</w:t>
      </w:r>
      <w:r>
        <w:t xml:space="preserve"> mentioned</w:t>
      </w:r>
      <w:r w:rsidR="00540DBC">
        <w:t xml:space="preserve"> </w:t>
      </w:r>
      <w:r>
        <w:t>in or cre</w:t>
      </w:r>
      <w:r w:rsidR="00540DBC">
        <w:t>at</w:t>
      </w:r>
      <w:r>
        <w:t>ed by the transfer.</w:t>
      </w:r>
    </w:p>
    <w:p w14:paraId="654C3AE6" w14:textId="77777777" w:rsidR="00AC2926" w:rsidRDefault="009E5720" w:rsidP="005F726A">
      <w:pPr>
        <w:pStyle w:val="Untitledsubclause1"/>
      </w:pPr>
      <w:bookmarkStart w:id="103" w:name="a998155"/>
      <w:r>
        <w:t>The Buyer and the Seller will execute the transfer in original and counterpart.</w:t>
      </w:r>
      <w:bookmarkEnd w:id="103"/>
    </w:p>
    <w:p w14:paraId="387C7B5F" w14:textId="77777777" w:rsidR="00AC2926" w:rsidRDefault="009E5720" w:rsidP="005F726A">
      <w:pPr>
        <w:pStyle w:val="Untitledsubclause1"/>
      </w:pPr>
      <w:bookmarkStart w:id="104" w:name="a152497"/>
      <w:r>
        <w:t xml:space="preserve">Condition 7.6.5(b) does not apply to this </w:t>
      </w:r>
      <w:r>
        <w:rPr>
          <w:bCs/>
        </w:rPr>
        <w:t>contract</w:t>
      </w:r>
      <w:r>
        <w:t>.</w:t>
      </w:r>
      <w:bookmarkEnd w:id="104"/>
    </w:p>
    <w:p w14:paraId="1A95C1FB" w14:textId="77777777" w:rsidR="00AC2926" w:rsidRDefault="009E5720" w:rsidP="005F726A">
      <w:pPr>
        <w:pStyle w:val="TitleClause"/>
      </w:pPr>
      <w:r>
        <w:fldChar w:fldCharType="begin"/>
      </w:r>
      <w:r>
        <w:instrText>TC "11. VAT" \l 1</w:instrText>
      </w:r>
      <w:r>
        <w:fldChar w:fldCharType="end"/>
      </w:r>
      <w:bookmarkStart w:id="105" w:name="a752485"/>
      <w:bookmarkStart w:id="106" w:name="_Toc173414079"/>
      <w:r>
        <w:t>VAT</w:t>
      </w:r>
      <w:bookmarkEnd w:id="105"/>
      <w:bookmarkEnd w:id="106"/>
    </w:p>
    <w:p w14:paraId="7E3F852F" w14:textId="77777777" w:rsidR="00AC2926" w:rsidRDefault="009E5720" w:rsidP="005F726A">
      <w:pPr>
        <w:pStyle w:val="Untitledsubclause1"/>
      </w:pPr>
      <w:bookmarkStart w:id="107" w:name="a489497"/>
      <w:r>
        <w:t xml:space="preserve">Each amount stated to be payable by the Buyer to the Seller under or pursuant to this </w:t>
      </w:r>
      <w:r>
        <w:rPr>
          <w:bCs/>
        </w:rPr>
        <w:t>contract</w:t>
      </w:r>
      <w:r>
        <w:t xml:space="preserve"> is exclusive of VAT (if any).</w:t>
      </w:r>
      <w:bookmarkEnd w:id="107"/>
    </w:p>
    <w:p w14:paraId="2A0C4D3C" w14:textId="77777777" w:rsidR="00AC2926" w:rsidRDefault="009E5720" w:rsidP="005F726A">
      <w:pPr>
        <w:pStyle w:val="Untitledsubclause1"/>
      </w:pPr>
      <w:bookmarkStart w:id="108" w:name="a1012882"/>
      <w:r>
        <w:t xml:space="preserve">If any VAT is chargeable on any supply made by the Seller under or pursuant to this </w:t>
      </w:r>
      <w:r>
        <w:rPr>
          <w:bCs/>
        </w:rPr>
        <w:t>contract</w:t>
      </w:r>
      <w:r>
        <w:t>, the Buyer shall, on receipt of a valid VAT invoice, pay the Seller an amount equal to that VAT as additional consideration on completion.</w:t>
      </w:r>
      <w:bookmarkEnd w:id="108"/>
    </w:p>
    <w:p w14:paraId="255EBE40" w14:textId="0707DC93" w:rsidR="00AC2926" w:rsidRDefault="009E5720" w:rsidP="005F726A">
      <w:pPr>
        <w:pStyle w:val="Untitledsubclause1"/>
      </w:pPr>
      <w:r>
        <w:fldChar w:fldCharType="begin"/>
      </w:r>
      <w:r>
        <w:fldChar w:fldCharType="end"/>
      </w:r>
      <w:bookmarkStart w:id="109" w:name="a771301"/>
      <w:r>
        <w:t xml:space="preserve">Conditions 2.1 and 2.2 do not apply to this </w:t>
      </w:r>
      <w:r>
        <w:rPr>
          <w:b/>
        </w:rPr>
        <w:t>contract</w:t>
      </w:r>
      <w:r>
        <w:t>.</w:t>
      </w:r>
      <w:bookmarkEnd w:id="109"/>
    </w:p>
    <w:p w14:paraId="3EB56D20" w14:textId="77777777" w:rsidR="00AC2926" w:rsidRDefault="009E5720" w:rsidP="005F726A">
      <w:pPr>
        <w:pStyle w:val="TitleClause"/>
      </w:pPr>
      <w:r>
        <w:fldChar w:fldCharType="begin"/>
      </w:r>
      <w:r>
        <w:instrText>TC "12. Completion" \l 1</w:instrText>
      </w:r>
      <w:r>
        <w:fldChar w:fldCharType="end"/>
      </w:r>
      <w:bookmarkStart w:id="110" w:name="a418773"/>
      <w:bookmarkStart w:id="111" w:name="_Toc173414080"/>
      <w:r>
        <w:t>Completion</w:t>
      </w:r>
      <w:bookmarkEnd w:id="110"/>
      <w:bookmarkEnd w:id="111"/>
    </w:p>
    <w:p w14:paraId="5128303A" w14:textId="77777777" w:rsidR="00AC2926" w:rsidRDefault="009E5720" w:rsidP="005F726A">
      <w:pPr>
        <w:pStyle w:val="Untitledsubclause1"/>
      </w:pPr>
      <w:bookmarkStart w:id="112" w:name="a959475"/>
      <w:r>
        <w:t xml:space="preserve">Completion will take place on the Completion </w:t>
      </w:r>
      <w:proofErr w:type="gramStart"/>
      <w:r>
        <w:t>Date</w:t>
      </w:r>
      <w:proofErr w:type="gramEnd"/>
      <w:r>
        <w:t xml:space="preserve"> but time is not of the essence of the contract unless a notice to complete has been served.</w:t>
      </w:r>
      <w:bookmarkEnd w:id="112"/>
    </w:p>
    <w:p w14:paraId="0DCF057A" w14:textId="77777777" w:rsidR="00AC2926" w:rsidRDefault="009E5720" w:rsidP="005F726A">
      <w:pPr>
        <w:pStyle w:val="Untitledsubclause1"/>
      </w:pPr>
      <w:bookmarkStart w:id="113" w:name="a526701"/>
      <w:r>
        <w:t xml:space="preserve">Condition 9.1.1 does not apply to this </w:t>
      </w:r>
      <w:r>
        <w:rPr>
          <w:bCs/>
        </w:rPr>
        <w:t>contract</w:t>
      </w:r>
      <w:r>
        <w:t>.</w:t>
      </w:r>
      <w:bookmarkEnd w:id="113"/>
    </w:p>
    <w:p w14:paraId="5A11DC15" w14:textId="77777777" w:rsidR="00AC2926" w:rsidRDefault="009E5720" w:rsidP="005F726A">
      <w:pPr>
        <w:pStyle w:val="Untitledsubclause1"/>
      </w:pPr>
      <w:bookmarkStart w:id="114" w:name="a602947"/>
      <w:r>
        <w:t>Conditions 9.1.2 and 9.1.3 are varied by the deletion of 2.00 pm as the stipulated time and the substitution of 1.00 pm.</w:t>
      </w:r>
      <w:bookmarkEnd w:id="114"/>
    </w:p>
    <w:p w14:paraId="7A34E565" w14:textId="77777777" w:rsidR="00AC2926" w:rsidRDefault="009E5720" w:rsidP="005F726A">
      <w:pPr>
        <w:pStyle w:val="Untitledsubclause1"/>
      </w:pPr>
      <w:bookmarkStart w:id="115" w:name="a938113"/>
      <w:r>
        <w:t xml:space="preserve">Condition 1.1.3(b) is amended to read: "in the case of the seller, even though a mortgage remains secured on the property, if the amount to be paid on completion enables the property to be transferred freed of all mortgages, (except those to which the </w:t>
      </w:r>
      <w:r>
        <w:rPr>
          <w:bCs/>
        </w:rPr>
        <w:t>sale</w:t>
      </w:r>
      <w:r>
        <w:t xml:space="preserve"> is expressly subject) or if the seller produces reasonable evidence that this is the case."</w:t>
      </w:r>
      <w:bookmarkEnd w:id="115"/>
    </w:p>
    <w:p w14:paraId="5A5156BD" w14:textId="77777777" w:rsidR="00AC2926" w:rsidRDefault="009E5720" w:rsidP="005F726A">
      <w:pPr>
        <w:pStyle w:val="Untitledsubclause1"/>
      </w:pPr>
      <w:bookmarkStart w:id="116" w:name="a944500"/>
      <w:r>
        <w:t xml:space="preserve">Condition 9.4 is amended to add, "(d) any other sum which the parties agree under the terms of the </w:t>
      </w:r>
      <w:r>
        <w:rPr>
          <w:bCs/>
        </w:rPr>
        <w:t>contract</w:t>
      </w:r>
      <w:r>
        <w:t xml:space="preserve"> should be paid or allowed on completion".</w:t>
      </w:r>
      <w:bookmarkEnd w:id="116"/>
    </w:p>
    <w:p w14:paraId="7D798505" w14:textId="77777777" w:rsidR="00AC2926" w:rsidRDefault="009E5720" w:rsidP="005F726A">
      <w:pPr>
        <w:pStyle w:val="Untitledsubclause1"/>
      </w:pPr>
      <w:bookmarkStart w:id="117" w:name="a120293"/>
      <w:r>
        <w:t>Condition 9.7 is amended to read: "The buyer is to pay the money due on completion by Electronic Payment and, if appropriate, by an unconditional release of a deposit held by a stakeholder".</w:t>
      </w:r>
      <w:bookmarkEnd w:id="117"/>
    </w:p>
    <w:p w14:paraId="5F576B14" w14:textId="77777777" w:rsidR="00AC2926" w:rsidRDefault="009E5720" w:rsidP="005F726A">
      <w:pPr>
        <w:pStyle w:val="TitleClause"/>
      </w:pPr>
      <w:r>
        <w:lastRenderedPageBreak/>
        <w:fldChar w:fldCharType="begin"/>
      </w:r>
      <w:r>
        <w:instrText>TC "16. Buyer's acknowledgement of condition" \l 1</w:instrText>
      </w:r>
      <w:r>
        <w:fldChar w:fldCharType="end"/>
      </w:r>
      <w:bookmarkStart w:id="118" w:name="a667035"/>
      <w:bookmarkStart w:id="119" w:name="_Toc173414081"/>
      <w:r>
        <w:t>Buyer's acknowledgement of condition</w:t>
      </w:r>
      <w:bookmarkEnd w:id="118"/>
      <w:bookmarkEnd w:id="119"/>
    </w:p>
    <w:p w14:paraId="37B3B57C" w14:textId="77777777" w:rsidR="00AC2926" w:rsidRDefault="009E5720" w:rsidP="005F726A">
      <w:pPr>
        <w:pStyle w:val="ParaClause"/>
      </w:pPr>
      <w:r>
        <w: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w:t>
      </w:r>
    </w:p>
    <w:p w14:paraId="55619C0B" w14:textId="0B08112C" w:rsidR="00AC2926" w:rsidRDefault="009E5720" w:rsidP="005F726A">
      <w:pPr>
        <w:pStyle w:val="TitleClause"/>
      </w:pPr>
      <w:r>
        <w:fldChar w:fldCharType="begin"/>
      </w:r>
      <w:r>
        <w:fldChar w:fldCharType="end"/>
      </w:r>
      <w:r>
        <w:fldChar w:fldCharType="begin"/>
      </w:r>
      <w:r>
        <w:instrText>TC "21. Delinked payments" \l 1</w:instrText>
      </w:r>
      <w:r>
        <w:fldChar w:fldCharType="end"/>
      </w:r>
      <w:bookmarkStart w:id="120" w:name="_Toc173414082"/>
      <w:bookmarkStart w:id="121" w:name="a294234"/>
      <w:r>
        <w:t>Delinked payments</w:t>
      </w:r>
      <w:bookmarkEnd w:id="120"/>
      <w:r>
        <w:t xml:space="preserve"> </w:t>
      </w:r>
      <w:bookmarkEnd w:id="121"/>
    </w:p>
    <w:p w14:paraId="1CAC24DF" w14:textId="4F876C05" w:rsidR="00AC2926" w:rsidRDefault="009E5720" w:rsidP="005F726A">
      <w:pPr>
        <w:pStyle w:val="Untitledsubclause1"/>
      </w:pPr>
      <w:bookmarkStart w:id="122" w:name="a435636"/>
      <w:r>
        <w:t>For the avoidance of doubt any Delinked Payment remain with the Seller.</w:t>
      </w:r>
      <w:bookmarkEnd w:id="122"/>
    </w:p>
    <w:p w14:paraId="1B1AE3D2" w14:textId="77777777" w:rsidR="00AC2926" w:rsidRDefault="009E5720" w:rsidP="005F726A">
      <w:pPr>
        <w:pStyle w:val="TitleClause"/>
      </w:pPr>
      <w:r>
        <w:fldChar w:fldCharType="begin"/>
      </w:r>
      <w:r>
        <w:instrText>TC "28. Entire agreement" \l 1</w:instrText>
      </w:r>
      <w:r>
        <w:fldChar w:fldCharType="end"/>
      </w:r>
      <w:bookmarkStart w:id="123" w:name="_Toc173414083"/>
      <w:bookmarkStart w:id="124" w:name="a745849"/>
      <w:r>
        <w:t>Entire agreement</w:t>
      </w:r>
      <w:bookmarkEnd w:id="123"/>
      <w:r>
        <w:t xml:space="preserve"> </w:t>
      </w:r>
      <w:bookmarkEnd w:id="124"/>
    </w:p>
    <w:p w14:paraId="71A2A9E1" w14:textId="068CCCE4" w:rsidR="00AC2926" w:rsidRDefault="009E5720" w:rsidP="005F726A">
      <w:pPr>
        <w:pStyle w:val="Untitledsubclause1"/>
      </w:pPr>
      <w:bookmarkStart w:id="125" w:name="a243827"/>
      <w:r>
        <w:t xml:space="preserve">This </w:t>
      </w:r>
      <w:r>
        <w:rPr>
          <w:b/>
        </w:rPr>
        <w:t>contract</w:t>
      </w:r>
      <w:r>
        <w:t xml:space="preserve"> and the documents annexed to it constitute the whole agreement between the parties and supersede all previous discussions, correspondence, negotiations, arrangements, understandings and agreements between them relating to their</w:t>
      </w:r>
      <w:r w:rsidR="0072769E">
        <w:t xml:space="preserve"> </w:t>
      </w:r>
      <w:r>
        <w:t>subject matter.</w:t>
      </w:r>
      <w:bookmarkEnd w:id="125"/>
    </w:p>
    <w:p w14:paraId="085C1E98" w14:textId="3BEEB46F" w:rsidR="00AC2926" w:rsidRDefault="009E5720" w:rsidP="005F726A">
      <w:pPr>
        <w:pStyle w:val="Untitledsubclause1"/>
      </w:pPr>
      <w:bookmarkStart w:id="126" w:name="a749894"/>
      <w:r>
        <w:t xml:space="preserve">The Buyer acknowledges that in </w:t>
      </w:r>
      <w:proofErr w:type="gramStart"/>
      <w:r>
        <w:t>entering into</w:t>
      </w:r>
      <w:proofErr w:type="gramEnd"/>
      <w:r>
        <w:t xml:space="preserve"> this </w:t>
      </w:r>
      <w:r>
        <w:rPr>
          <w:b/>
        </w:rPr>
        <w:t>contract</w:t>
      </w:r>
      <w:r>
        <w:t xml:space="preserve"> and any documents annexed to it the Buyer does not rely on, and shall have no remedies in respect of, any representation or warranty (whether made innocently or negligently) other than those:</w:t>
      </w:r>
      <w:bookmarkEnd w:id="126"/>
    </w:p>
    <w:p w14:paraId="510E5874" w14:textId="69050E00" w:rsidR="00AC2926" w:rsidRDefault="009E5720" w:rsidP="005F726A">
      <w:pPr>
        <w:pStyle w:val="Untitledsubclause2"/>
      </w:pPr>
      <w:bookmarkStart w:id="127" w:name="a248078"/>
      <w:r>
        <w:t xml:space="preserve">set out in this </w:t>
      </w:r>
      <w:r>
        <w:rPr>
          <w:bCs/>
        </w:rPr>
        <w:t>contract</w:t>
      </w:r>
      <w:r>
        <w:t xml:space="preserve"> or the documents annexed to it; or </w:t>
      </w:r>
      <w:bookmarkEnd w:id="127"/>
    </w:p>
    <w:p w14:paraId="2E642C90" w14:textId="77777777" w:rsidR="00AC2926" w:rsidRDefault="009E5720" w:rsidP="005F726A">
      <w:pPr>
        <w:pStyle w:val="Untitledsubclause2"/>
      </w:pPr>
      <w:bookmarkStart w:id="128" w:name="a708533"/>
      <w:r>
        <w:t>contained in any Written Replies.</w:t>
      </w:r>
      <w:bookmarkEnd w:id="128"/>
    </w:p>
    <w:p w14:paraId="540E62A8" w14:textId="7A5311A7" w:rsidR="00AC2926" w:rsidRDefault="009E5720" w:rsidP="005F726A">
      <w:pPr>
        <w:pStyle w:val="Untitledsubclause1"/>
      </w:pPr>
      <w:r>
        <w:fldChar w:fldCharType="begin"/>
      </w:r>
      <w:r>
        <w:fldChar w:fldCharType="end"/>
      </w:r>
      <w:bookmarkStart w:id="129" w:name="a931695"/>
      <w:r>
        <w:t>Nothing in this clause shall limit or exclude any liability for fraud.</w:t>
      </w:r>
      <w:bookmarkEnd w:id="129"/>
    </w:p>
    <w:p w14:paraId="46EBB8C6" w14:textId="77777777" w:rsidR="00AC2926" w:rsidRDefault="009E5720" w:rsidP="005F726A">
      <w:pPr>
        <w:pStyle w:val="Untitledsubclause1"/>
      </w:pPr>
      <w:bookmarkStart w:id="130" w:name="a1008271"/>
      <w:r>
        <w:t>Condition 10.1 is varied so that the words "the negotiations leading to it," are replaced with the words "Written Replies".</w:t>
      </w:r>
      <w:bookmarkEnd w:id="130"/>
    </w:p>
    <w:p w14:paraId="5C1C536D" w14:textId="2937EB3E" w:rsidR="00AC2926" w:rsidRDefault="009E5720" w:rsidP="005F726A">
      <w:pPr>
        <w:pStyle w:val="Untitledsubclause1"/>
      </w:pPr>
      <w:r>
        <w:fldChar w:fldCharType="begin"/>
      </w:r>
      <w:r>
        <w:fldChar w:fldCharType="end"/>
      </w:r>
      <w:bookmarkStart w:id="131" w:name="a966111"/>
      <w:r>
        <w:t>This contract may be signed in any number of duplicate parts all of which taken together will on exchange constitute one contract.</w:t>
      </w:r>
      <w:bookmarkEnd w:id="131"/>
    </w:p>
    <w:p w14:paraId="45B97216" w14:textId="77777777" w:rsidR="00AC2926" w:rsidRDefault="009E5720" w:rsidP="005F726A">
      <w:pPr>
        <w:pStyle w:val="TitleClause"/>
      </w:pPr>
      <w:r>
        <w:fldChar w:fldCharType="begin"/>
      </w:r>
      <w:r>
        <w:instrText>TC "29. Joint and several liability" \l 1</w:instrText>
      </w:r>
      <w:r>
        <w:fldChar w:fldCharType="end"/>
      </w:r>
      <w:bookmarkStart w:id="132" w:name="a848617"/>
      <w:bookmarkStart w:id="133" w:name="_Toc173414084"/>
      <w:r>
        <w:t>Joint and several liability</w:t>
      </w:r>
      <w:bookmarkEnd w:id="132"/>
      <w:bookmarkEnd w:id="133"/>
    </w:p>
    <w:p w14:paraId="765A88A3" w14:textId="77777777" w:rsidR="00AC2926" w:rsidRDefault="009E5720" w:rsidP="005F726A">
      <w:pPr>
        <w:pStyle w:val="Untitledsubclause1"/>
      </w:pPr>
      <w:bookmarkStart w:id="134" w:name="a186830"/>
      <w:r>
        <w:t xml:space="preserve">Where a party to this contract comprises more than one person, those persons shall be jointly and severally liable for the obligations and liabilities of that party arising under this contract. The party to whom those obligations and liabilities are owed may </w:t>
      </w:r>
      <w:proofErr w:type="gramStart"/>
      <w:r>
        <w:t>take action</w:t>
      </w:r>
      <w:proofErr w:type="gramEnd"/>
      <w:r>
        <w:t xml:space="preserve"> against, or release or compromise the liability of, or grant time or other indulgence to, any one of those persons without affecting the liability of any other of them.</w:t>
      </w:r>
      <w:bookmarkEnd w:id="134"/>
    </w:p>
    <w:p w14:paraId="0A38BC78" w14:textId="77777777" w:rsidR="00AC2926" w:rsidRDefault="009E5720" w:rsidP="005F726A">
      <w:pPr>
        <w:pStyle w:val="Untitledsubclause1"/>
      </w:pPr>
      <w:bookmarkStart w:id="135" w:name="a301088"/>
      <w:r>
        <w:t>Condition 1.2 does not apply to this contract.</w:t>
      </w:r>
      <w:bookmarkEnd w:id="135"/>
    </w:p>
    <w:p w14:paraId="3DA306C2" w14:textId="77777777" w:rsidR="00AC2926" w:rsidRDefault="009E5720" w:rsidP="005F726A">
      <w:pPr>
        <w:pStyle w:val="TitleClause"/>
      </w:pPr>
      <w:r>
        <w:lastRenderedPageBreak/>
        <w:fldChar w:fldCharType="begin"/>
      </w:r>
      <w:r>
        <w:instrText>TC "30. Notices" \l 1</w:instrText>
      </w:r>
      <w:r>
        <w:fldChar w:fldCharType="end"/>
      </w:r>
      <w:bookmarkStart w:id="136" w:name="a201102"/>
      <w:bookmarkStart w:id="137" w:name="_Toc173414085"/>
      <w:r>
        <w:t>Notices</w:t>
      </w:r>
      <w:bookmarkEnd w:id="136"/>
      <w:bookmarkEnd w:id="137"/>
    </w:p>
    <w:p w14:paraId="32471F0A" w14:textId="6B67A25D" w:rsidR="00AC2926" w:rsidRDefault="009E5720" w:rsidP="005F726A">
      <w:pPr>
        <w:pStyle w:val="Untitledsubclause1"/>
      </w:pPr>
      <w:bookmarkStart w:id="138" w:name="a207172"/>
      <w:r>
        <w:t>Any notice given under this contract must be in writing and signed by or on behalf of the party giving it.</w:t>
      </w:r>
      <w:bookmarkEnd w:id="138"/>
    </w:p>
    <w:p w14:paraId="6D7E7EF3" w14:textId="55E6BDF3" w:rsidR="00AC2926" w:rsidRDefault="009E5720" w:rsidP="005F726A">
      <w:pPr>
        <w:pStyle w:val="Untitledsubclause1"/>
      </w:pPr>
      <w:bookmarkStart w:id="139" w:name="a143650"/>
      <w:r>
        <w:t>Any notice or document to be given or delivered under this contract must be:</w:t>
      </w:r>
      <w:bookmarkEnd w:id="139"/>
    </w:p>
    <w:p w14:paraId="28D91296" w14:textId="55E0AA5D" w:rsidR="00AC2926" w:rsidRDefault="009E5720" w:rsidP="005F726A">
      <w:pPr>
        <w:pStyle w:val="Untitledsubclause2"/>
      </w:pPr>
      <w:bookmarkStart w:id="140" w:name="a824107"/>
      <w:r>
        <w:t xml:space="preserve">delivered by hand; or </w:t>
      </w:r>
      <w:bookmarkEnd w:id="140"/>
    </w:p>
    <w:p w14:paraId="2AAAC3F5" w14:textId="6EF75875" w:rsidR="00AC2926" w:rsidRDefault="009E5720" w:rsidP="005F726A">
      <w:pPr>
        <w:pStyle w:val="Untitledsubclause2"/>
      </w:pPr>
      <w:bookmarkStart w:id="141" w:name="a413352"/>
      <w:r>
        <w:t xml:space="preserve">sent by pre-paid </w:t>
      </w:r>
      <w:proofErr w:type="gramStart"/>
      <w:r>
        <w:t>first class</w:t>
      </w:r>
      <w:proofErr w:type="gramEnd"/>
      <w:r>
        <w:t xml:space="preserve"> post or other next working day delivery service</w:t>
      </w:r>
      <w:r w:rsidR="0072769E">
        <w:t xml:space="preserve">; </w:t>
      </w:r>
      <w:r>
        <w:t xml:space="preserve">or </w:t>
      </w:r>
      <w:bookmarkEnd w:id="141"/>
    </w:p>
    <w:p w14:paraId="65BB4519" w14:textId="67F79090" w:rsidR="00AC2926" w:rsidRDefault="009E5720" w:rsidP="0072769E">
      <w:pPr>
        <w:pStyle w:val="Untitledsubclause2"/>
      </w:pPr>
      <w:r>
        <w:fldChar w:fldCharType="begin"/>
      </w:r>
      <w:r>
        <w:fldChar w:fldCharType="end"/>
      </w:r>
      <w:bookmarkStart w:id="142" w:name="a921650"/>
      <w:r>
        <w:t>sent through the document exchange (DX)</w:t>
      </w:r>
      <w:bookmarkEnd w:id="142"/>
      <w:r w:rsidR="0072769E">
        <w:t>.</w:t>
      </w:r>
    </w:p>
    <w:p w14:paraId="5C56B3F6" w14:textId="77777777" w:rsidR="00AC2926" w:rsidRDefault="009E5720" w:rsidP="005F726A">
      <w:pPr>
        <w:pStyle w:val="Untitledsubclause1"/>
      </w:pPr>
      <w:bookmarkStart w:id="143" w:name="a741018"/>
      <w:r>
        <w:t xml:space="preserve">Any notice or document to be given or delivered under this contract must be sent to the relevant party as follows: </w:t>
      </w:r>
      <w:bookmarkEnd w:id="143"/>
    </w:p>
    <w:p w14:paraId="0542C315" w14:textId="77777777" w:rsidR="00AC2926" w:rsidRDefault="009E5720" w:rsidP="005F726A">
      <w:pPr>
        <w:pStyle w:val="Untitledsubclause2"/>
      </w:pPr>
      <w:bookmarkStart w:id="144" w:name="a173268"/>
      <w:r>
        <w:t xml:space="preserve">to the Seller at: </w:t>
      </w:r>
      <w:bookmarkEnd w:id="144"/>
    </w:p>
    <w:p w14:paraId="2D23B7F7" w14:textId="67E9E507" w:rsidR="00AC2926" w:rsidRDefault="0072769E" w:rsidP="005F726A">
      <w:pPr>
        <w:pStyle w:val="Parasubclause2"/>
      </w:pPr>
      <w:r>
        <w:t>A</w:t>
      </w:r>
      <w:r w:rsidR="00844D75">
        <w:t xml:space="preserve">mesbury House, 7 Pear Tree Way, </w:t>
      </w:r>
      <w:r>
        <w:t>Penrith</w:t>
      </w:r>
      <w:r w:rsidR="00844D75">
        <w:t xml:space="preserve">, Cumbria </w:t>
      </w:r>
      <w:r>
        <w:t xml:space="preserve">CA11 </w:t>
      </w:r>
      <w:r w:rsidR="00844D75">
        <w:t>8</w:t>
      </w:r>
      <w:r>
        <w:t>W</w:t>
      </w:r>
      <w:r w:rsidR="00844D75">
        <w:t>A</w:t>
      </w:r>
    </w:p>
    <w:p w14:paraId="4E5559B1" w14:textId="22B7F519" w:rsidR="00AC2926" w:rsidRDefault="009E5720" w:rsidP="005F726A">
      <w:pPr>
        <w:pStyle w:val="Parasubclause2"/>
      </w:pPr>
      <w:r>
        <w:t xml:space="preserve">marked for the attention of: </w:t>
      </w:r>
      <w:r w:rsidR="00844D75">
        <w:t>Mrs FC Slee</w:t>
      </w:r>
    </w:p>
    <w:p w14:paraId="3B5EC8C6" w14:textId="0B871173" w:rsidR="00AC2926" w:rsidRDefault="009E5720" w:rsidP="005F726A">
      <w:pPr>
        <w:pStyle w:val="Parasubclause2"/>
      </w:pPr>
      <w:r>
        <w:t>or at the Seller's Conveyancer, quoting the reference</w:t>
      </w:r>
      <w:r w:rsidR="0072769E">
        <w:t xml:space="preserve"> </w:t>
      </w:r>
      <w:r w:rsidR="00844D75">
        <w:t>109382.00</w:t>
      </w:r>
      <w:r w:rsidR="00D47D95">
        <w:t>7</w:t>
      </w:r>
      <w:r w:rsidR="00844D75">
        <w:t>.</w:t>
      </w:r>
    </w:p>
    <w:p w14:paraId="3E4915DE" w14:textId="77777777" w:rsidR="00AC2926" w:rsidRDefault="009E5720" w:rsidP="005F726A">
      <w:pPr>
        <w:pStyle w:val="Untitledsubclause2"/>
      </w:pPr>
      <w:bookmarkStart w:id="145" w:name="a112406"/>
      <w:r>
        <w:t>to the Buyer at:</w:t>
      </w:r>
      <w:bookmarkEnd w:id="145"/>
    </w:p>
    <w:p w14:paraId="6C6D0F3F" w14:textId="77777777" w:rsidR="0072769E" w:rsidRDefault="0072769E" w:rsidP="005F726A">
      <w:pPr>
        <w:pStyle w:val="Parasubclause2"/>
      </w:pPr>
    </w:p>
    <w:p w14:paraId="1D385D89" w14:textId="77777777" w:rsidR="0072769E" w:rsidRDefault="0072769E" w:rsidP="005F726A">
      <w:pPr>
        <w:pStyle w:val="Parasubclause2"/>
      </w:pPr>
    </w:p>
    <w:p w14:paraId="59BFE96C" w14:textId="77777777" w:rsidR="0072769E" w:rsidRDefault="0072769E" w:rsidP="005F726A">
      <w:pPr>
        <w:pStyle w:val="Parasubclause2"/>
      </w:pPr>
    </w:p>
    <w:p w14:paraId="3C3090D2" w14:textId="326AC12E" w:rsidR="00AC2926" w:rsidRDefault="009E5720" w:rsidP="005F726A">
      <w:pPr>
        <w:pStyle w:val="Parasubclause2"/>
      </w:pPr>
      <w:r>
        <w:t xml:space="preserve">marked for the attention of: </w:t>
      </w:r>
    </w:p>
    <w:p w14:paraId="2E30A13B" w14:textId="23BBB5BD" w:rsidR="00AC2926" w:rsidRDefault="009E5720" w:rsidP="005F726A">
      <w:pPr>
        <w:pStyle w:val="Parasubclause2"/>
      </w:pPr>
      <w:r>
        <w:t>or at the Buyer's Conveyancer, quoting the reference [</w:t>
      </w:r>
      <w:r w:rsidR="0072769E">
        <w:tab/>
      </w:r>
      <w:r w:rsidR="0072769E">
        <w:tab/>
      </w:r>
      <w:r>
        <w:t>].</w:t>
      </w:r>
    </w:p>
    <w:p w14:paraId="1AA61F37" w14:textId="77777777" w:rsidR="00AC2926" w:rsidRDefault="009E5720" w:rsidP="005F726A">
      <w:pPr>
        <w:pStyle w:val="Parasubclause1"/>
      </w:pPr>
      <w:r>
        <w:t xml:space="preserve">or as otherwise specified by the relevant party by notice in writing to the other party. </w:t>
      </w:r>
    </w:p>
    <w:p w14:paraId="72083F18" w14:textId="4B61B929" w:rsidR="00AC2926" w:rsidRDefault="009E5720" w:rsidP="005F726A">
      <w:pPr>
        <w:pStyle w:val="Untitledsubclause1"/>
      </w:pPr>
      <w:bookmarkStart w:id="146" w:name="a1045726"/>
      <w:r>
        <w:t xml:space="preserve">Any change of the details in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specified in accordance with that clause shall take effect for the party notified of the change at 9.00 am on the later of: </w:t>
      </w:r>
      <w:bookmarkEnd w:id="146"/>
    </w:p>
    <w:p w14:paraId="41696BD0" w14:textId="77777777" w:rsidR="00AC2926" w:rsidRDefault="009E5720" w:rsidP="005F726A">
      <w:pPr>
        <w:pStyle w:val="Untitledsubclause2"/>
      </w:pPr>
      <w:bookmarkStart w:id="147" w:name="a652288"/>
      <w:r>
        <w:t xml:space="preserve">the date, if any, specified in the notice as the effective date for the change; or </w:t>
      </w:r>
      <w:bookmarkEnd w:id="147"/>
    </w:p>
    <w:p w14:paraId="0459DA37" w14:textId="40BC7C16" w:rsidR="00AC2926" w:rsidRDefault="009E5720" w:rsidP="005F726A">
      <w:pPr>
        <w:pStyle w:val="Untitledsubclause2"/>
      </w:pPr>
      <w:bookmarkStart w:id="148" w:name="a317756"/>
      <w:r>
        <w:t xml:space="preserve">the date five working days after deemed receipt of the notice. </w:t>
      </w:r>
      <w:bookmarkEnd w:id="148"/>
    </w:p>
    <w:p w14:paraId="061526AF" w14:textId="77777777" w:rsidR="00AC2926" w:rsidRDefault="009E5720" w:rsidP="005F726A">
      <w:pPr>
        <w:pStyle w:val="Untitledsubclause1"/>
      </w:pPr>
      <w:bookmarkStart w:id="149" w:name="a407209"/>
      <w:r>
        <w:t>Giving or delivering a notice or a document to a party's conveyancer has the same effect as giving or delivering it to that party.</w:t>
      </w:r>
      <w:bookmarkEnd w:id="149"/>
    </w:p>
    <w:p w14:paraId="7479AB9D" w14:textId="17EFC631" w:rsidR="00AC2926" w:rsidRDefault="009E5720" w:rsidP="005F726A">
      <w:pPr>
        <w:pStyle w:val="Untitledsubclause1"/>
      </w:pPr>
      <w:bookmarkStart w:id="150" w:name="a474771"/>
      <w:r>
        <w:t xml:space="preserve">Any notice or document given or delivered in accordance with </w:t>
      </w:r>
      <w:r>
        <w:fldChar w:fldCharType="begin"/>
      </w:r>
      <w:r>
        <w:instrText>PAGEREF a207172\# "'clause '"  \h</w:instrText>
      </w:r>
      <w:r>
        <w:fldChar w:fldCharType="separate"/>
      </w:r>
      <w:r w:rsidR="00896E84">
        <w:rPr>
          <w:noProof/>
        </w:rPr>
        <w:t xml:space="preserve">clause </w:t>
      </w:r>
      <w:r>
        <w:fldChar w:fldCharType="end"/>
      </w:r>
      <w:r>
        <w:fldChar w:fldCharType="begin"/>
      </w:r>
      <w:r>
        <w:rPr>
          <w:highlight w:val="lightGray"/>
        </w:rPr>
        <w:instrText>REF a207172 \h \w</w:instrText>
      </w:r>
      <w:r>
        <w:fldChar w:fldCharType="separate"/>
      </w:r>
      <w:r w:rsidR="00896E84">
        <w:rPr>
          <w:highlight w:val="lightGray"/>
        </w:rPr>
        <w:t>17.1</w:t>
      </w:r>
      <w:r>
        <w:fldChar w:fldCharType="end"/>
      </w:r>
      <w:r>
        <w:t xml:space="preserve">, </w:t>
      </w:r>
      <w:r>
        <w:fldChar w:fldCharType="begin"/>
      </w:r>
      <w:r>
        <w:instrText>PAGEREF a143650\# "'clause '"  \h</w:instrText>
      </w:r>
      <w:r>
        <w:fldChar w:fldCharType="separate"/>
      </w:r>
      <w:r w:rsidR="00896E84">
        <w:rPr>
          <w:noProof/>
        </w:rPr>
        <w:t xml:space="preserve">clause </w:t>
      </w:r>
      <w:r>
        <w:fldChar w:fldCharType="end"/>
      </w:r>
      <w:r>
        <w:fldChar w:fldCharType="begin"/>
      </w:r>
      <w:r>
        <w:rPr>
          <w:highlight w:val="lightGray"/>
        </w:rPr>
        <w:instrText>REF a143650 \h \w</w:instrText>
      </w:r>
      <w:r>
        <w:fldChar w:fldCharType="separate"/>
      </w:r>
      <w:r w:rsidR="00896E84">
        <w:rPr>
          <w:highlight w:val="lightGray"/>
        </w:rPr>
        <w:t>17.2</w:t>
      </w:r>
      <w:r>
        <w:fldChar w:fldCharType="end"/>
      </w:r>
      <w:r>
        <w:t xml:space="preserve"> and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shall be deemed to have been received:</w:t>
      </w:r>
      <w:bookmarkEnd w:id="150"/>
    </w:p>
    <w:p w14:paraId="7AB98E08" w14:textId="66EFFB42" w:rsidR="00AC2926" w:rsidRDefault="009E5720" w:rsidP="005F726A">
      <w:pPr>
        <w:pStyle w:val="Untitledsubclause2"/>
      </w:pPr>
      <w:bookmarkStart w:id="151" w:name="a723628"/>
      <w:r>
        <w:lastRenderedPageBreak/>
        <w:t>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w:t>
      </w:r>
      <w:r w:rsidR="0072769E">
        <w:t xml:space="preserve">; </w:t>
      </w:r>
      <w:r>
        <w:t xml:space="preserve">or </w:t>
      </w:r>
      <w:bookmarkEnd w:id="151"/>
    </w:p>
    <w:p w14:paraId="3B8ACD9B" w14:textId="1EE521A7" w:rsidR="00AC2926" w:rsidRDefault="009E5720" w:rsidP="005F726A">
      <w:pPr>
        <w:pStyle w:val="Untitledsubclause2"/>
      </w:pPr>
      <w:bookmarkStart w:id="152" w:name="a250556"/>
      <w:r>
        <w:t xml:space="preserve">if sent by pre-paid </w:t>
      </w:r>
      <w:proofErr w:type="gramStart"/>
      <w:r>
        <w:t>first class</w:t>
      </w:r>
      <w:proofErr w:type="gramEnd"/>
      <w:r>
        <w:t xml:space="preserve"> post or other next working day delivery service, at 9.00 am on the second working day after posting</w:t>
      </w:r>
      <w:r>
        <w:rPr>
          <w:b/>
          <w:bCs/>
        </w:rPr>
        <w:t>;</w:t>
      </w:r>
      <w:r>
        <w:t xml:space="preserve"> or </w:t>
      </w:r>
      <w:bookmarkEnd w:id="152"/>
    </w:p>
    <w:p w14:paraId="56FE8128" w14:textId="5988C499" w:rsidR="00AC2926" w:rsidRDefault="009E5720" w:rsidP="005F726A">
      <w:pPr>
        <w:pStyle w:val="Untitledsubclause2"/>
      </w:pPr>
      <w:r>
        <w:fldChar w:fldCharType="begin"/>
      </w:r>
      <w:r>
        <w:fldChar w:fldCharType="end"/>
      </w:r>
      <w:bookmarkStart w:id="153" w:name="a844877"/>
      <w:r>
        <w:t>if sent through the DX, at 9.00 am on the second working day after being put into the DX</w:t>
      </w:r>
      <w:bookmarkEnd w:id="153"/>
      <w:r w:rsidR="0072769E">
        <w:t>.</w:t>
      </w:r>
    </w:p>
    <w:p w14:paraId="333E3F34" w14:textId="77777777" w:rsidR="00AC2926" w:rsidRDefault="009E5720" w:rsidP="005F726A">
      <w:pPr>
        <w:pStyle w:val="Untitledsubclause1"/>
      </w:pPr>
      <w:bookmarkStart w:id="154" w:name="a972436"/>
      <w:r>
        <w:t>In proving delivery of a notice or document, it shall be sufficient to prove that:</w:t>
      </w:r>
      <w:bookmarkEnd w:id="154"/>
    </w:p>
    <w:p w14:paraId="760B8CF9" w14:textId="1304A781" w:rsidR="00AC2926" w:rsidRDefault="009E5720" w:rsidP="005F726A">
      <w:pPr>
        <w:pStyle w:val="Untitledsubclause2"/>
      </w:pPr>
      <w:bookmarkStart w:id="155" w:name="a92840"/>
      <w:r>
        <w:t>a delivery receipt was signed or that the notice or document was left at the address</w:t>
      </w:r>
      <w:r w:rsidR="0072769E">
        <w:t xml:space="preserve">; </w:t>
      </w:r>
      <w:r>
        <w:t>or</w:t>
      </w:r>
      <w:bookmarkEnd w:id="155"/>
    </w:p>
    <w:p w14:paraId="342C198E" w14:textId="1336A90F" w:rsidR="00AC2926" w:rsidRDefault="009E5720" w:rsidP="005F726A">
      <w:pPr>
        <w:pStyle w:val="Untitledsubclause2"/>
      </w:pPr>
      <w:bookmarkStart w:id="156" w:name="a1013521"/>
      <w:r>
        <w:t xml:space="preserve">the envelope containing the notice or document was properly addressed and posted by pre-paid </w:t>
      </w:r>
      <w:proofErr w:type="gramStart"/>
      <w:r>
        <w:t>first class</w:t>
      </w:r>
      <w:proofErr w:type="gramEnd"/>
      <w:r>
        <w:t xml:space="preserve"> post or other next working day delivery service; o</w:t>
      </w:r>
      <w:bookmarkEnd w:id="156"/>
    </w:p>
    <w:p w14:paraId="1ADD220C" w14:textId="56964E3B" w:rsidR="00AC2926" w:rsidRDefault="009E5720" w:rsidP="005F726A">
      <w:pPr>
        <w:pStyle w:val="Untitledsubclause2"/>
      </w:pPr>
      <w:r>
        <w:fldChar w:fldCharType="begin"/>
      </w:r>
      <w:r>
        <w:fldChar w:fldCharType="end"/>
      </w:r>
      <w:bookmarkStart w:id="157" w:name="a752939"/>
      <w:r>
        <w:t>the envelope containing the notice or document was properly addressed and was put in the DX</w:t>
      </w:r>
      <w:bookmarkEnd w:id="157"/>
      <w:r w:rsidR="002F3A10">
        <w:t>.</w:t>
      </w:r>
    </w:p>
    <w:p w14:paraId="50353F32" w14:textId="77777777" w:rsidR="00AC2926" w:rsidRDefault="009E5720" w:rsidP="005F726A">
      <w:pPr>
        <w:pStyle w:val="Untitledsubclause1"/>
      </w:pPr>
      <w:bookmarkStart w:id="158" w:name="a1021289"/>
      <w:r>
        <w:t xml:space="preserve">A notice or document given or delivered under this </w:t>
      </w:r>
      <w:r>
        <w:rPr>
          <w:bCs/>
        </w:rPr>
        <w:t>contract</w:t>
      </w:r>
      <w:r>
        <w:t xml:space="preserve"> shall not be validly given or delivered if sent by email.</w:t>
      </w:r>
      <w:bookmarkEnd w:id="158"/>
    </w:p>
    <w:p w14:paraId="25C63C94" w14:textId="77777777" w:rsidR="00AC2926" w:rsidRDefault="009E5720" w:rsidP="005F726A">
      <w:pPr>
        <w:pStyle w:val="Untitledsubclause1"/>
      </w:pPr>
      <w:bookmarkStart w:id="159" w:name="a433817"/>
      <w:r>
        <w:t xml:space="preserve">Condition 1.3 does not apply to this </w:t>
      </w:r>
      <w:r>
        <w:rPr>
          <w:bCs/>
        </w:rPr>
        <w:t>contract</w:t>
      </w:r>
      <w:r>
        <w:t>.</w:t>
      </w:r>
      <w:bookmarkEnd w:id="159"/>
    </w:p>
    <w:p w14:paraId="410EC452" w14:textId="77777777" w:rsidR="00AC2926" w:rsidRDefault="009E5720" w:rsidP="005F726A">
      <w:pPr>
        <w:pStyle w:val="Untitledsubclause1"/>
      </w:pPr>
      <w:bookmarkStart w:id="160" w:name="a937243"/>
      <w:r>
        <w:t>This clause does not apply to the service of any proceedings or other documents in any legal action or, where applicable, any arbitration or other method of dispute resolution.</w:t>
      </w:r>
      <w:bookmarkEnd w:id="160"/>
    </w:p>
    <w:p w14:paraId="6E8E4D5C" w14:textId="77777777" w:rsidR="00AC2926" w:rsidRDefault="009E5720" w:rsidP="005F726A">
      <w:pPr>
        <w:pStyle w:val="TitleClause"/>
      </w:pPr>
      <w:r>
        <w:fldChar w:fldCharType="begin"/>
      </w:r>
      <w:r>
        <w:instrText>TC "31. Third party rights" \l 1</w:instrText>
      </w:r>
      <w:r>
        <w:fldChar w:fldCharType="end"/>
      </w:r>
      <w:bookmarkStart w:id="161" w:name="a196236"/>
      <w:bookmarkStart w:id="162" w:name="_Toc173414086"/>
      <w:r>
        <w:t>Third party rights</w:t>
      </w:r>
      <w:bookmarkEnd w:id="161"/>
      <w:bookmarkEnd w:id="162"/>
    </w:p>
    <w:p w14:paraId="643ABEE0" w14:textId="77777777" w:rsidR="00AC2926" w:rsidRDefault="009E5720" w:rsidP="005F726A">
      <w:pPr>
        <w:pStyle w:val="Untitledsubclause1"/>
      </w:pPr>
      <w:bookmarkStart w:id="163" w:name="a345039"/>
      <w:r>
        <w:t>A person who is not a party to this contract does give rise to any rights under the Contracts (Rights of Third Parties) Act 1999 to enforce any term of this contract.</w:t>
      </w:r>
      <w:bookmarkEnd w:id="163"/>
    </w:p>
    <w:p w14:paraId="3CB98C57" w14:textId="77777777" w:rsidR="00AC2926" w:rsidRDefault="009E5720" w:rsidP="005F726A">
      <w:pPr>
        <w:pStyle w:val="Untitledsubclause1"/>
      </w:pPr>
      <w:bookmarkStart w:id="164" w:name="a207814"/>
      <w:r>
        <w:t xml:space="preserve"> Condition 1.5 does not apply to this contract. </w:t>
      </w:r>
      <w:bookmarkEnd w:id="164"/>
    </w:p>
    <w:p w14:paraId="3549ADD6" w14:textId="77777777" w:rsidR="00AC2926" w:rsidRDefault="009E5720" w:rsidP="005F726A">
      <w:pPr>
        <w:pStyle w:val="TitleClause"/>
      </w:pPr>
      <w:r>
        <w:fldChar w:fldCharType="begin"/>
      </w:r>
      <w:r>
        <w:instrText>TC "32. Governing law" \l 1</w:instrText>
      </w:r>
      <w:r>
        <w:fldChar w:fldCharType="end"/>
      </w:r>
      <w:bookmarkStart w:id="165" w:name="a377819"/>
      <w:bookmarkStart w:id="166" w:name="_Toc173414087"/>
      <w:r>
        <w:t>Governing law</w:t>
      </w:r>
      <w:bookmarkEnd w:id="165"/>
      <w:bookmarkEnd w:id="166"/>
    </w:p>
    <w:p w14:paraId="669EC87A" w14:textId="77777777" w:rsidR="00AC2926" w:rsidRDefault="009E5720" w:rsidP="005F726A">
      <w:pPr>
        <w:pStyle w:val="NoNumUntitledsubclause1"/>
      </w:pPr>
      <w:bookmarkStart w:id="167" w:name="a833071"/>
      <w:r>
        <w:t>This contract and any dispute or claim (including non-contractual disputes or claims) arising out of or in connection with it or its subject matter or formation shall be governed by and construed in accordance with the law of England and Wales.</w:t>
      </w:r>
      <w:bookmarkEnd w:id="167"/>
    </w:p>
    <w:p w14:paraId="747DD313" w14:textId="77777777" w:rsidR="00AC2926" w:rsidRDefault="009E5720" w:rsidP="005F726A">
      <w:pPr>
        <w:pStyle w:val="TitleClause"/>
      </w:pPr>
      <w:r>
        <w:lastRenderedPageBreak/>
        <w:fldChar w:fldCharType="begin"/>
      </w:r>
      <w:r>
        <w:instrText>TC "33. Jurisdiction" \l 1</w:instrText>
      </w:r>
      <w:r>
        <w:fldChar w:fldCharType="end"/>
      </w:r>
      <w:bookmarkStart w:id="168" w:name="_Toc173414088"/>
      <w:bookmarkStart w:id="169" w:name="a882812"/>
      <w:r>
        <w:t>Jurisdiction</w:t>
      </w:r>
      <w:bookmarkEnd w:id="168"/>
      <w:r>
        <w:t xml:space="preserve"> </w:t>
      </w:r>
      <w:bookmarkEnd w:id="169"/>
    </w:p>
    <w:p w14:paraId="1A17692E" w14:textId="6CEC40F1" w:rsidR="00AC2926" w:rsidRDefault="009E5720" w:rsidP="005F726A">
      <w:pPr>
        <w:pStyle w:val="NoNumUntitledsubclause1"/>
      </w:pPr>
      <w:bookmarkStart w:id="170" w:name="a919580"/>
      <w:r>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70"/>
    </w:p>
    <w:p w14:paraId="37F5EF99" w14:textId="15D1367D" w:rsidR="002F3A10" w:rsidRDefault="002F3A10" w:rsidP="002F3A10">
      <w:pPr>
        <w:pStyle w:val="TitleClause"/>
      </w:pPr>
      <w:bookmarkStart w:id="171" w:name="_Toc173414089"/>
      <w:r>
        <w:t>Disbursements</w:t>
      </w:r>
      <w:bookmarkEnd w:id="171"/>
    </w:p>
    <w:p w14:paraId="7F123D84" w14:textId="135CD547" w:rsidR="002F3A10" w:rsidRDefault="002F3A10" w:rsidP="002F3A10">
      <w:pPr>
        <w:pStyle w:val="TitleClause"/>
        <w:numPr>
          <w:ilvl w:val="0"/>
          <w:numId w:val="0"/>
        </w:numPr>
        <w:ind w:left="720"/>
        <w:rPr>
          <w:b w:val="0"/>
          <w:bCs/>
        </w:rPr>
      </w:pPr>
      <w:bookmarkStart w:id="172" w:name="_Toc173142580"/>
      <w:bookmarkStart w:id="173" w:name="_Toc173414090"/>
      <w:r w:rsidRPr="002F3A10">
        <w:rPr>
          <w:b w:val="0"/>
          <w:bCs/>
        </w:rPr>
        <w:t xml:space="preserve">On the completion date the Buyer will reimburse the Seller with the cost of the searches and disbursements included within the </w:t>
      </w:r>
      <w:r>
        <w:rPr>
          <w:b w:val="0"/>
          <w:bCs/>
        </w:rPr>
        <w:t>a</w:t>
      </w:r>
      <w:r w:rsidRPr="002F3A10">
        <w:rPr>
          <w:b w:val="0"/>
          <w:bCs/>
        </w:rPr>
        <w:t xml:space="preserve">uction </w:t>
      </w:r>
      <w:r>
        <w:rPr>
          <w:b w:val="0"/>
          <w:bCs/>
        </w:rPr>
        <w:t>p</w:t>
      </w:r>
      <w:r w:rsidRPr="002F3A10">
        <w:rPr>
          <w:b w:val="0"/>
          <w:bCs/>
        </w:rPr>
        <w:t>ack and made available prior to the auction in relation to the sale of the Property, in the sum of £</w:t>
      </w:r>
      <w:r w:rsidR="00844D75">
        <w:rPr>
          <w:b w:val="0"/>
          <w:bCs/>
        </w:rPr>
        <w:t>713</w:t>
      </w:r>
      <w:r w:rsidRPr="002F3A10">
        <w:rPr>
          <w:b w:val="0"/>
          <w:bCs/>
        </w:rPr>
        <w:t>.</w:t>
      </w:r>
      <w:r w:rsidR="00844D75">
        <w:rPr>
          <w:b w:val="0"/>
          <w:bCs/>
        </w:rPr>
        <w:t>61</w:t>
      </w:r>
      <w:r w:rsidRPr="002F3A10">
        <w:rPr>
          <w:b w:val="0"/>
          <w:bCs/>
        </w:rPr>
        <w:t xml:space="preserve"> </w:t>
      </w:r>
      <w:proofErr w:type="spellStart"/>
      <w:r w:rsidRPr="002F3A10">
        <w:rPr>
          <w:b w:val="0"/>
          <w:bCs/>
        </w:rPr>
        <w:t>inc</w:t>
      </w:r>
      <w:proofErr w:type="spellEnd"/>
      <w:r w:rsidRPr="002F3A10">
        <w:rPr>
          <w:b w:val="0"/>
          <w:bCs/>
        </w:rPr>
        <w:t xml:space="preserve"> VAT.</w:t>
      </w:r>
      <w:bookmarkEnd w:id="172"/>
      <w:bookmarkEnd w:id="173"/>
    </w:p>
    <w:p w14:paraId="140FDC5A" w14:textId="77777777" w:rsidR="00B13E70" w:rsidRDefault="00B13E70" w:rsidP="00B13E70">
      <w:pPr>
        <w:pStyle w:val="Untitledsubclause1"/>
        <w:numPr>
          <w:ilvl w:val="0"/>
          <w:numId w:val="0"/>
        </w:numPr>
        <w:ind w:left="720"/>
      </w:pPr>
    </w:p>
    <w:p w14:paraId="5A62EE45" w14:textId="77777777" w:rsidR="00D47D95" w:rsidRPr="00B13E70" w:rsidRDefault="00D47D95" w:rsidP="00B13E70">
      <w:pPr>
        <w:pStyle w:val="Untitledsubclause1"/>
        <w:numPr>
          <w:ilvl w:val="0"/>
          <w:numId w:val="0"/>
        </w:numPr>
        <w:ind w:left="720"/>
      </w:pPr>
    </w:p>
    <w:p w14:paraId="7134F921" w14:textId="77777777" w:rsidR="00AC2926" w:rsidRDefault="009E5720" w:rsidP="005F726A">
      <w:pPr>
        <w:pStyle w:val="Testimonium"/>
      </w:pPr>
      <w:r>
        <w:t>This contract has been entered into on the date stated at the beginning of it.</w:t>
      </w:r>
    </w:p>
    <w:p w14:paraId="5C56806F" w14:textId="392F9F39" w:rsidR="004E674A" w:rsidRPr="002F3A10" w:rsidRDefault="004E674A">
      <w:pPr>
        <w:rPr>
          <w:rFonts w:ascii="Arial" w:hAnsi="Arial" w:cs="Arial"/>
        </w:rPr>
      </w:pPr>
    </w:p>
    <w:p w14:paraId="6CB05506" w14:textId="63AD23B8" w:rsidR="004E674A" w:rsidRPr="002F3A10" w:rsidRDefault="002F3A10" w:rsidP="002F3A10">
      <w:pPr>
        <w:spacing w:after="0"/>
        <w:rPr>
          <w:rFonts w:ascii="Arial" w:hAnsi="Arial" w:cs="Arial"/>
        </w:rPr>
      </w:pPr>
      <w:r w:rsidRPr="002F3A10">
        <w:rPr>
          <w:rFonts w:ascii="Arial" w:hAnsi="Arial" w:cs="Arial"/>
        </w:rPr>
        <w:t>Signed by</w:t>
      </w:r>
    </w:p>
    <w:p w14:paraId="301DCEC7" w14:textId="7E07810B" w:rsidR="002F3A10" w:rsidRDefault="00B13E70" w:rsidP="002F3A10">
      <w:pPr>
        <w:spacing w:after="0"/>
        <w:rPr>
          <w:rFonts w:ascii="Arial" w:hAnsi="Arial" w:cs="Arial"/>
        </w:rPr>
      </w:pPr>
      <w:r w:rsidRPr="00B13E70">
        <w:rPr>
          <w:rFonts w:ascii="Arial" w:hAnsi="Arial" w:cs="Arial"/>
          <w:b/>
          <w:bCs/>
        </w:rPr>
        <w:t>Frances Claire Slee</w:t>
      </w:r>
      <w:r w:rsidR="002F3A10">
        <w:rPr>
          <w:rFonts w:ascii="Arial" w:hAnsi="Arial" w:cs="Arial"/>
        </w:rPr>
        <w:tab/>
      </w:r>
      <w:r w:rsidR="002F3A10">
        <w:rPr>
          <w:rFonts w:ascii="Arial" w:hAnsi="Arial" w:cs="Arial"/>
        </w:rPr>
        <w:tab/>
        <w:t>……………………………………………………</w:t>
      </w:r>
    </w:p>
    <w:p w14:paraId="59FC3E5B" w14:textId="77777777" w:rsidR="00B13E70" w:rsidRDefault="00B13E70" w:rsidP="002F3A10">
      <w:pPr>
        <w:spacing w:after="0"/>
        <w:rPr>
          <w:rFonts w:ascii="Arial" w:hAnsi="Arial" w:cs="Arial"/>
        </w:rPr>
      </w:pPr>
    </w:p>
    <w:p w14:paraId="41AEFEE2" w14:textId="77777777" w:rsidR="002F3A10" w:rsidRDefault="002F3A10" w:rsidP="002F3A10">
      <w:pPr>
        <w:spacing w:after="0"/>
        <w:rPr>
          <w:rFonts w:ascii="Arial" w:hAnsi="Arial" w:cs="Arial"/>
        </w:rPr>
      </w:pPr>
    </w:p>
    <w:p w14:paraId="126F98D3" w14:textId="77777777" w:rsidR="002F3A10" w:rsidRDefault="002F3A10" w:rsidP="002F3A10">
      <w:pPr>
        <w:spacing w:after="0"/>
        <w:rPr>
          <w:rFonts w:ascii="Arial" w:hAnsi="Arial" w:cs="Arial"/>
        </w:rPr>
      </w:pPr>
    </w:p>
    <w:p w14:paraId="7ADB46AD" w14:textId="77777777" w:rsidR="00B13E70" w:rsidRPr="002F3A10" w:rsidRDefault="00B13E70" w:rsidP="00B13E70">
      <w:pPr>
        <w:spacing w:after="0"/>
        <w:rPr>
          <w:rFonts w:ascii="Arial" w:hAnsi="Arial" w:cs="Arial"/>
        </w:rPr>
      </w:pPr>
      <w:r w:rsidRPr="002F3A10">
        <w:rPr>
          <w:rFonts w:ascii="Arial" w:hAnsi="Arial" w:cs="Arial"/>
        </w:rPr>
        <w:t>Signed by</w:t>
      </w:r>
    </w:p>
    <w:p w14:paraId="493366AA" w14:textId="228A0A62" w:rsidR="00B13E70" w:rsidRDefault="00B13E70" w:rsidP="00B13E70">
      <w:pPr>
        <w:spacing w:after="0"/>
        <w:rPr>
          <w:rFonts w:ascii="Arial" w:hAnsi="Arial" w:cs="Arial"/>
        </w:rPr>
      </w:pPr>
      <w:r>
        <w:rPr>
          <w:rFonts w:ascii="Arial" w:hAnsi="Arial" w:cs="Arial"/>
          <w:b/>
          <w:bCs/>
        </w:rPr>
        <w:t>Janice Margaret Heighway</w:t>
      </w:r>
      <w:r>
        <w:rPr>
          <w:rFonts w:ascii="Arial" w:hAnsi="Arial" w:cs="Arial"/>
        </w:rPr>
        <w:tab/>
        <w:t>……………………………………………………</w:t>
      </w:r>
    </w:p>
    <w:p w14:paraId="05BB3B36" w14:textId="77777777" w:rsidR="00B13E70" w:rsidRDefault="00B13E70" w:rsidP="002F3A10">
      <w:pPr>
        <w:spacing w:after="0"/>
        <w:rPr>
          <w:rFonts w:ascii="Arial" w:hAnsi="Arial" w:cs="Arial"/>
        </w:rPr>
      </w:pPr>
    </w:p>
    <w:p w14:paraId="51E35488" w14:textId="77777777" w:rsidR="002F3A10" w:rsidRDefault="002F3A10" w:rsidP="002F3A10">
      <w:pPr>
        <w:spacing w:after="0"/>
        <w:rPr>
          <w:rFonts w:ascii="Arial" w:hAnsi="Arial" w:cs="Arial"/>
        </w:rPr>
      </w:pPr>
    </w:p>
    <w:p w14:paraId="2D593997" w14:textId="7F038219" w:rsidR="002F3A10" w:rsidRDefault="002F3A10" w:rsidP="002F3A10">
      <w:pPr>
        <w:spacing w:after="0"/>
        <w:rPr>
          <w:rFonts w:ascii="Arial" w:hAnsi="Arial" w:cs="Arial"/>
        </w:rPr>
      </w:pPr>
      <w:r>
        <w:rPr>
          <w:rFonts w:ascii="Arial" w:hAnsi="Arial" w:cs="Arial"/>
        </w:rPr>
        <w:t>Signed by</w:t>
      </w:r>
    </w:p>
    <w:p w14:paraId="3362AEED" w14:textId="7BDF304C" w:rsidR="002F3A10" w:rsidRDefault="002F3A10" w:rsidP="002F3A10">
      <w:pPr>
        <w:spacing w:after="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t>……………………………………………………</w:t>
      </w:r>
    </w:p>
    <w:p w14:paraId="386DD7DB" w14:textId="77777777" w:rsidR="002F3A10" w:rsidRPr="002F3A10" w:rsidRDefault="002F3A10" w:rsidP="002F3A10">
      <w:pPr>
        <w:spacing w:after="0"/>
        <w:rPr>
          <w:rFonts w:ascii="Arial" w:hAnsi="Arial" w:cs="Arial"/>
        </w:rPr>
      </w:pPr>
    </w:p>
    <w:sectPr w:rsidR="002F3A10" w:rsidRPr="002F3A10" w:rsidSect="00487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B345" w14:textId="77777777" w:rsidR="00420B42" w:rsidRDefault="00420B42">
      <w:pPr>
        <w:spacing w:after="0" w:line="240" w:lineRule="auto"/>
      </w:pPr>
      <w:r>
        <w:separator/>
      </w:r>
    </w:p>
  </w:endnote>
  <w:endnote w:type="continuationSeparator" w:id="0">
    <w:p w14:paraId="4D4153BE" w14:textId="77777777" w:rsidR="00420B42" w:rsidRDefault="004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10F5" w14:textId="77777777" w:rsidR="004E674A" w:rsidRDefault="009E5720">
    <w:pPr>
      <w:jc w:val="center"/>
    </w:pPr>
    <w:r>
      <w:fldChar w:fldCharType="begin"/>
    </w:r>
    <w:r>
      <w:instrText>PAGE</w:instrText>
    </w:r>
    <w: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E6A0" w14:textId="77777777" w:rsidR="00420B42" w:rsidRDefault="00420B42">
      <w:pPr>
        <w:spacing w:after="0" w:line="240" w:lineRule="auto"/>
      </w:pPr>
      <w:r>
        <w:separator/>
      </w:r>
    </w:p>
  </w:footnote>
  <w:footnote w:type="continuationSeparator" w:id="0">
    <w:p w14:paraId="19574317" w14:textId="77777777" w:rsidR="00420B42" w:rsidRDefault="00420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A8AF234">
      <w:start w:val="1"/>
      <w:numFmt w:val="bullet"/>
      <w:pStyle w:val="DefinedTermBullet"/>
      <w:lvlText w:val=""/>
      <w:lvlJc w:val="left"/>
      <w:pPr>
        <w:ind w:left="1440" w:hanging="360"/>
      </w:pPr>
      <w:rPr>
        <w:rFonts w:ascii="Symbol" w:hAnsi="Symbol" w:hint="default"/>
        <w:color w:val="000000"/>
      </w:rPr>
    </w:lvl>
    <w:lvl w:ilvl="1" w:tplc="5722478E" w:tentative="1">
      <w:start w:val="1"/>
      <w:numFmt w:val="bullet"/>
      <w:lvlText w:val="o"/>
      <w:lvlJc w:val="left"/>
      <w:pPr>
        <w:ind w:left="2160" w:hanging="360"/>
      </w:pPr>
      <w:rPr>
        <w:rFonts w:ascii="Courier New" w:hAnsi="Courier New" w:cs="Courier New" w:hint="default"/>
      </w:rPr>
    </w:lvl>
    <w:lvl w:ilvl="2" w:tplc="96DC1E62" w:tentative="1">
      <w:start w:val="1"/>
      <w:numFmt w:val="bullet"/>
      <w:lvlText w:val=""/>
      <w:lvlJc w:val="left"/>
      <w:pPr>
        <w:ind w:left="2880" w:hanging="360"/>
      </w:pPr>
      <w:rPr>
        <w:rFonts w:ascii="Wingdings" w:hAnsi="Wingdings" w:hint="default"/>
      </w:rPr>
    </w:lvl>
    <w:lvl w:ilvl="3" w:tplc="FA32F54E" w:tentative="1">
      <w:start w:val="1"/>
      <w:numFmt w:val="bullet"/>
      <w:lvlText w:val=""/>
      <w:lvlJc w:val="left"/>
      <w:pPr>
        <w:ind w:left="3600" w:hanging="360"/>
      </w:pPr>
      <w:rPr>
        <w:rFonts w:ascii="Symbol" w:hAnsi="Symbol" w:hint="default"/>
      </w:rPr>
    </w:lvl>
    <w:lvl w:ilvl="4" w:tplc="4E601380" w:tentative="1">
      <w:start w:val="1"/>
      <w:numFmt w:val="bullet"/>
      <w:lvlText w:val="o"/>
      <w:lvlJc w:val="left"/>
      <w:pPr>
        <w:ind w:left="4320" w:hanging="360"/>
      </w:pPr>
      <w:rPr>
        <w:rFonts w:ascii="Courier New" w:hAnsi="Courier New" w:cs="Courier New" w:hint="default"/>
      </w:rPr>
    </w:lvl>
    <w:lvl w:ilvl="5" w:tplc="64B4BE90" w:tentative="1">
      <w:start w:val="1"/>
      <w:numFmt w:val="bullet"/>
      <w:lvlText w:val=""/>
      <w:lvlJc w:val="left"/>
      <w:pPr>
        <w:ind w:left="5040" w:hanging="360"/>
      </w:pPr>
      <w:rPr>
        <w:rFonts w:ascii="Wingdings" w:hAnsi="Wingdings" w:hint="default"/>
      </w:rPr>
    </w:lvl>
    <w:lvl w:ilvl="6" w:tplc="1FE4F658" w:tentative="1">
      <w:start w:val="1"/>
      <w:numFmt w:val="bullet"/>
      <w:lvlText w:val=""/>
      <w:lvlJc w:val="left"/>
      <w:pPr>
        <w:ind w:left="5760" w:hanging="360"/>
      </w:pPr>
      <w:rPr>
        <w:rFonts w:ascii="Symbol" w:hAnsi="Symbol" w:hint="default"/>
      </w:rPr>
    </w:lvl>
    <w:lvl w:ilvl="7" w:tplc="2A5EDDCC" w:tentative="1">
      <w:start w:val="1"/>
      <w:numFmt w:val="bullet"/>
      <w:lvlText w:val="o"/>
      <w:lvlJc w:val="left"/>
      <w:pPr>
        <w:ind w:left="6480" w:hanging="360"/>
      </w:pPr>
      <w:rPr>
        <w:rFonts w:ascii="Courier New" w:hAnsi="Courier New" w:cs="Courier New" w:hint="default"/>
      </w:rPr>
    </w:lvl>
    <w:lvl w:ilvl="8" w:tplc="857C622E"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AD8C5CD8">
      <w:start w:val="1"/>
      <w:numFmt w:val="decimal"/>
      <w:pStyle w:val="ScheduleHeading-Single"/>
      <w:lvlText w:val="Schedule"/>
      <w:lvlJc w:val="left"/>
      <w:pPr>
        <w:tabs>
          <w:tab w:val="num" w:pos="720"/>
        </w:tabs>
        <w:ind w:left="720" w:hanging="720"/>
      </w:pPr>
      <w:rPr>
        <w:color w:val="000000"/>
      </w:rPr>
    </w:lvl>
    <w:lvl w:ilvl="1" w:tplc="3086F076" w:tentative="1">
      <w:start w:val="1"/>
      <w:numFmt w:val="lowerLetter"/>
      <w:lvlText w:val="%2."/>
      <w:lvlJc w:val="left"/>
      <w:pPr>
        <w:tabs>
          <w:tab w:val="num" w:pos="1440"/>
        </w:tabs>
        <w:ind w:left="1440" w:hanging="360"/>
      </w:pPr>
    </w:lvl>
    <w:lvl w:ilvl="2" w:tplc="6AF6FE24" w:tentative="1">
      <w:start w:val="1"/>
      <w:numFmt w:val="lowerRoman"/>
      <w:lvlText w:val="%3."/>
      <w:lvlJc w:val="right"/>
      <w:pPr>
        <w:tabs>
          <w:tab w:val="num" w:pos="2160"/>
        </w:tabs>
        <w:ind w:left="2160" w:hanging="180"/>
      </w:pPr>
    </w:lvl>
    <w:lvl w:ilvl="3" w:tplc="6F5A54C2" w:tentative="1">
      <w:start w:val="1"/>
      <w:numFmt w:val="decimal"/>
      <w:lvlText w:val="%4."/>
      <w:lvlJc w:val="left"/>
      <w:pPr>
        <w:tabs>
          <w:tab w:val="num" w:pos="2880"/>
        </w:tabs>
        <w:ind w:left="2880" w:hanging="360"/>
      </w:pPr>
    </w:lvl>
    <w:lvl w:ilvl="4" w:tplc="3042C286" w:tentative="1">
      <w:start w:val="1"/>
      <w:numFmt w:val="lowerLetter"/>
      <w:lvlText w:val="%5."/>
      <w:lvlJc w:val="left"/>
      <w:pPr>
        <w:tabs>
          <w:tab w:val="num" w:pos="3600"/>
        </w:tabs>
        <w:ind w:left="3600" w:hanging="360"/>
      </w:pPr>
    </w:lvl>
    <w:lvl w:ilvl="5" w:tplc="110662B8" w:tentative="1">
      <w:start w:val="1"/>
      <w:numFmt w:val="lowerRoman"/>
      <w:lvlText w:val="%6."/>
      <w:lvlJc w:val="right"/>
      <w:pPr>
        <w:tabs>
          <w:tab w:val="num" w:pos="4320"/>
        </w:tabs>
        <w:ind w:left="4320" w:hanging="180"/>
      </w:pPr>
    </w:lvl>
    <w:lvl w:ilvl="6" w:tplc="83BAD5AE" w:tentative="1">
      <w:start w:val="1"/>
      <w:numFmt w:val="decimal"/>
      <w:lvlText w:val="%7."/>
      <w:lvlJc w:val="left"/>
      <w:pPr>
        <w:tabs>
          <w:tab w:val="num" w:pos="5040"/>
        </w:tabs>
        <w:ind w:left="5040" w:hanging="360"/>
      </w:pPr>
    </w:lvl>
    <w:lvl w:ilvl="7" w:tplc="20605C14" w:tentative="1">
      <w:start w:val="1"/>
      <w:numFmt w:val="lowerLetter"/>
      <w:lvlText w:val="%8."/>
      <w:lvlJc w:val="left"/>
      <w:pPr>
        <w:tabs>
          <w:tab w:val="num" w:pos="5760"/>
        </w:tabs>
        <w:ind w:left="5760" w:hanging="360"/>
      </w:pPr>
    </w:lvl>
    <w:lvl w:ilvl="8" w:tplc="C46CE07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CDD4FC8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2D6EFB2" w:tentative="1">
      <w:start w:val="1"/>
      <w:numFmt w:val="lowerLetter"/>
      <w:lvlText w:val="%2."/>
      <w:lvlJc w:val="left"/>
      <w:pPr>
        <w:ind w:left="1440" w:hanging="360"/>
      </w:pPr>
    </w:lvl>
    <w:lvl w:ilvl="2" w:tplc="163E9D40" w:tentative="1">
      <w:start w:val="1"/>
      <w:numFmt w:val="lowerRoman"/>
      <w:lvlText w:val="%3."/>
      <w:lvlJc w:val="right"/>
      <w:pPr>
        <w:ind w:left="2160" w:hanging="180"/>
      </w:pPr>
    </w:lvl>
    <w:lvl w:ilvl="3" w:tplc="0E9CCEF4" w:tentative="1">
      <w:start w:val="1"/>
      <w:numFmt w:val="decimal"/>
      <w:lvlText w:val="%4."/>
      <w:lvlJc w:val="left"/>
      <w:pPr>
        <w:ind w:left="2880" w:hanging="360"/>
      </w:pPr>
    </w:lvl>
    <w:lvl w:ilvl="4" w:tplc="15B2A366" w:tentative="1">
      <w:start w:val="1"/>
      <w:numFmt w:val="lowerLetter"/>
      <w:lvlText w:val="%5."/>
      <w:lvlJc w:val="left"/>
      <w:pPr>
        <w:ind w:left="3600" w:hanging="360"/>
      </w:pPr>
    </w:lvl>
    <w:lvl w:ilvl="5" w:tplc="22D6F738" w:tentative="1">
      <w:start w:val="1"/>
      <w:numFmt w:val="lowerRoman"/>
      <w:lvlText w:val="%6."/>
      <w:lvlJc w:val="right"/>
      <w:pPr>
        <w:ind w:left="4320" w:hanging="180"/>
      </w:pPr>
    </w:lvl>
    <w:lvl w:ilvl="6" w:tplc="C83C56EE" w:tentative="1">
      <w:start w:val="1"/>
      <w:numFmt w:val="decimal"/>
      <w:lvlText w:val="%7."/>
      <w:lvlJc w:val="left"/>
      <w:pPr>
        <w:ind w:left="5040" w:hanging="360"/>
      </w:pPr>
    </w:lvl>
    <w:lvl w:ilvl="7" w:tplc="520AA49A" w:tentative="1">
      <w:start w:val="1"/>
      <w:numFmt w:val="lowerLetter"/>
      <w:lvlText w:val="%8."/>
      <w:lvlJc w:val="left"/>
      <w:pPr>
        <w:ind w:left="5760" w:hanging="360"/>
      </w:pPr>
    </w:lvl>
    <w:lvl w:ilvl="8" w:tplc="1D5CD2AE"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3DF41F5E">
      <w:start w:val="1"/>
      <w:numFmt w:val="decimal"/>
      <w:pStyle w:val="QuestionParagraph"/>
      <w:lvlText w:val="%1."/>
      <w:lvlJc w:val="left"/>
      <w:pPr>
        <w:ind w:left="720" w:hanging="360"/>
      </w:pPr>
      <w:rPr>
        <w:color w:val="000000"/>
      </w:rPr>
    </w:lvl>
    <w:lvl w:ilvl="1" w:tplc="D132FE3A" w:tentative="1">
      <w:start w:val="1"/>
      <w:numFmt w:val="lowerLetter"/>
      <w:lvlText w:val="%2."/>
      <w:lvlJc w:val="left"/>
      <w:pPr>
        <w:ind w:left="1440" w:hanging="360"/>
      </w:pPr>
    </w:lvl>
    <w:lvl w:ilvl="2" w:tplc="B4F6E5EC" w:tentative="1">
      <w:start w:val="1"/>
      <w:numFmt w:val="lowerRoman"/>
      <w:lvlText w:val="%3."/>
      <w:lvlJc w:val="right"/>
      <w:pPr>
        <w:ind w:left="2160" w:hanging="180"/>
      </w:pPr>
    </w:lvl>
    <w:lvl w:ilvl="3" w:tplc="497C770C" w:tentative="1">
      <w:start w:val="1"/>
      <w:numFmt w:val="decimal"/>
      <w:lvlText w:val="%4."/>
      <w:lvlJc w:val="left"/>
      <w:pPr>
        <w:ind w:left="2880" w:hanging="360"/>
      </w:pPr>
    </w:lvl>
    <w:lvl w:ilvl="4" w:tplc="724EABFC" w:tentative="1">
      <w:start w:val="1"/>
      <w:numFmt w:val="lowerLetter"/>
      <w:lvlText w:val="%5."/>
      <w:lvlJc w:val="left"/>
      <w:pPr>
        <w:ind w:left="3600" w:hanging="360"/>
      </w:pPr>
    </w:lvl>
    <w:lvl w:ilvl="5" w:tplc="68E6B66E" w:tentative="1">
      <w:start w:val="1"/>
      <w:numFmt w:val="lowerRoman"/>
      <w:lvlText w:val="%6."/>
      <w:lvlJc w:val="right"/>
      <w:pPr>
        <w:ind w:left="4320" w:hanging="180"/>
      </w:pPr>
    </w:lvl>
    <w:lvl w:ilvl="6" w:tplc="4B543AA0" w:tentative="1">
      <w:start w:val="1"/>
      <w:numFmt w:val="decimal"/>
      <w:lvlText w:val="%7."/>
      <w:lvlJc w:val="left"/>
      <w:pPr>
        <w:ind w:left="5040" w:hanging="360"/>
      </w:pPr>
    </w:lvl>
    <w:lvl w:ilvl="7" w:tplc="62EC9298" w:tentative="1">
      <w:start w:val="1"/>
      <w:numFmt w:val="lowerLetter"/>
      <w:lvlText w:val="%8."/>
      <w:lvlJc w:val="left"/>
      <w:pPr>
        <w:ind w:left="5760" w:hanging="360"/>
      </w:pPr>
    </w:lvl>
    <w:lvl w:ilvl="8" w:tplc="75162812"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E0248396">
      <w:start w:val="1"/>
      <w:numFmt w:val="bullet"/>
      <w:pStyle w:val="subclause2Bullet2"/>
      <w:lvlText w:val=""/>
      <w:lvlJc w:val="left"/>
      <w:pPr>
        <w:ind w:left="2279" w:hanging="360"/>
      </w:pPr>
      <w:rPr>
        <w:rFonts w:ascii="Symbol" w:hAnsi="Symbol" w:hint="default"/>
        <w:color w:val="000000"/>
      </w:rPr>
    </w:lvl>
    <w:lvl w:ilvl="1" w:tplc="951E4860" w:tentative="1">
      <w:start w:val="1"/>
      <w:numFmt w:val="bullet"/>
      <w:lvlText w:val="o"/>
      <w:lvlJc w:val="left"/>
      <w:pPr>
        <w:ind w:left="2999" w:hanging="360"/>
      </w:pPr>
      <w:rPr>
        <w:rFonts w:ascii="Courier New" w:hAnsi="Courier New" w:cs="Courier New" w:hint="default"/>
      </w:rPr>
    </w:lvl>
    <w:lvl w:ilvl="2" w:tplc="0CCC6DEA" w:tentative="1">
      <w:start w:val="1"/>
      <w:numFmt w:val="bullet"/>
      <w:lvlText w:val=""/>
      <w:lvlJc w:val="left"/>
      <w:pPr>
        <w:ind w:left="3719" w:hanging="360"/>
      </w:pPr>
      <w:rPr>
        <w:rFonts w:ascii="Wingdings" w:hAnsi="Wingdings" w:hint="default"/>
      </w:rPr>
    </w:lvl>
    <w:lvl w:ilvl="3" w:tplc="26B665D2" w:tentative="1">
      <w:start w:val="1"/>
      <w:numFmt w:val="bullet"/>
      <w:lvlText w:val=""/>
      <w:lvlJc w:val="left"/>
      <w:pPr>
        <w:ind w:left="4439" w:hanging="360"/>
      </w:pPr>
      <w:rPr>
        <w:rFonts w:ascii="Symbol" w:hAnsi="Symbol" w:hint="default"/>
      </w:rPr>
    </w:lvl>
    <w:lvl w:ilvl="4" w:tplc="92F64E48" w:tentative="1">
      <w:start w:val="1"/>
      <w:numFmt w:val="bullet"/>
      <w:lvlText w:val="o"/>
      <w:lvlJc w:val="left"/>
      <w:pPr>
        <w:ind w:left="5159" w:hanging="360"/>
      </w:pPr>
      <w:rPr>
        <w:rFonts w:ascii="Courier New" w:hAnsi="Courier New" w:cs="Courier New" w:hint="default"/>
      </w:rPr>
    </w:lvl>
    <w:lvl w:ilvl="5" w:tplc="7A4AD180" w:tentative="1">
      <w:start w:val="1"/>
      <w:numFmt w:val="bullet"/>
      <w:lvlText w:val=""/>
      <w:lvlJc w:val="left"/>
      <w:pPr>
        <w:ind w:left="5879" w:hanging="360"/>
      </w:pPr>
      <w:rPr>
        <w:rFonts w:ascii="Wingdings" w:hAnsi="Wingdings" w:hint="default"/>
      </w:rPr>
    </w:lvl>
    <w:lvl w:ilvl="6" w:tplc="AC96720C" w:tentative="1">
      <w:start w:val="1"/>
      <w:numFmt w:val="bullet"/>
      <w:lvlText w:val=""/>
      <w:lvlJc w:val="left"/>
      <w:pPr>
        <w:ind w:left="6599" w:hanging="360"/>
      </w:pPr>
      <w:rPr>
        <w:rFonts w:ascii="Symbol" w:hAnsi="Symbol" w:hint="default"/>
      </w:rPr>
    </w:lvl>
    <w:lvl w:ilvl="7" w:tplc="AE5A54C0" w:tentative="1">
      <w:start w:val="1"/>
      <w:numFmt w:val="bullet"/>
      <w:lvlText w:val="o"/>
      <w:lvlJc w:val="left"/>
      <w:pPr>
        <w:ind w:left="7319" w:hanging="360"/>
      </w:pPr>
      <w:rPr>
        <w:rFonts w:ascii="Courier New" w:hAnsi="Courier New" w:cs="Courier New" w:hint="default"/>
      </w:rPr>
    </w:lvl>
    <w:lvl w:ilvl="8" w:tplc="B0F05CFC"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CFCEAA4E">
      <w:start w:val="1"/>
      <w:numFmt w:val="bullet"/>
      <w:pStyle w:val="BulletList2"/>
      <w:lvlText w:val=""/>
      <w:lvlJc w:val="left"/>
      <w:pPr>
        <w:tabs>
          <w:tab w:val="num" w:pos="1077"/>
        </w:tabs>
        <w:ind w:left="1077" w:hanging="357"/>
      </w:pPr>
      <w:rPr>
        <w:rFonts w:ascii="Symbol" w:hAnsi="Symbol" w:hint="default"/>
        <w:color w:val="000000"/>
      </w:rPr>
    </w:lvl>
    <w:lvl w:ilvl="1" w:tplc="DE341BB2" w:tentative="1">
      <w:start w:val="1"/>
      <w:numFmt w:val="bullet"/>
      <w:lvlText w:val="o"/>
      <w:lvlJc w:val="left"/>
      <w:pPr>
        <w:tabs>
          <w:tab w:val="num" w:pos="1440"/>
        </w:tabs>
        <w:ind w:left="1440" w:hanging="360"/>
      </w:pPr>
      <w:rPr>
        <w:rFonts w:ascii="Courier New" w:hAnsi="Courier New" w:cs="Courier New" w:hint="default"/>
      </w:rPr>
    </w:lvl>
    <w:lvl w:ilvl="2" w:tplc="F9B2ED7C" w:tentative="1">
      <w:start w:val="1"/>
      <w:numFmt w:val="bullet"/>
      <w:lvlText w:val=""/>
      <w:lvlJc w:val="left"/>
      <w:pPr>
        <w:tabs>
          <w:tab w:val="num" w:pos="2160"/>
        </w:tabs>
        <w:ind w:left="2160" w:hanging="360"/>
      </w:pPr>
      <w:rPr>
        <w:rFonts w:ascii="Wingdings" w:hAnsi="Wingdings" w:hint="default"/>
      </w:rPr>
    </w:lvl>
    <w:lvl w:ilvl="3" w:tplc="31527568" w:tentative="1">
      <w:start w:val="1"/>
      <w:numFmt w:val="bullet"/>
      <w:lvlText w:val=""/>
      <w:lvlJc w:val="left"/>
      <w:pPr>
        <w:tabs>
          <w:tab w:val="num" w:pos="2880"/>
        </w:tabs>
        <w:ind w:left="2880" w:hanging="360"/>
      </w:pPr>
      <w:rPr>
        <w:rFonts w:ascii="Symbol" w:hAnsi="Symbol" w:hint="default"/>
      </w:rPr>
    </w:lvl>
    <w:lvl w:ilvl="4" w:tplc="8BC808C2" w:tentative="1">
      <w:start w:val="1"/>
      <w:numFmt w:val="bullet"/>
      <w:lvlText w:val="o"/>
      <w:lvlJc w:val="left"/>
      <w:pPr>
        <w:tabs>
          <w:tab w:val="num" w:pos="3600"/>
        </w:tabs>
        <w:ind w:left="3600" w:hanging="360"/>
      </w:pPr>
      <w:rPr>
        <w:rFonts w:ascii="Courier New" w:hAnsi="Courier New" w:cs="Courier New" w:hint="default"/>
      </w:rPr>
    </w:lvl>
    <w:lvl w:ilvl="5" w:tplc="401CD7D4" w:tentative="1">
      <w:start w:val="1"/>
      <w:numFmt w:val="bullet"/>
      <w:lvlText w:val=""/>
      <w:lvlJc w:val="left"/>
      <w:pPr>
        <w:tabs>
          <w:tab w:val="num" w:pos="4320"/>
        </w:tabs>
        <w:ind w:left="4320" w:hanging="360"/>
      </w:pPr>
      <w:rPr>
        <w:rFonts w:ascii="Wingdings" w:hAnsi="Wingdings" w:hint="default"/>
      </w:rPr>
    </w:lvl>
    <w:lvl w:ilvl="6" w:tplc="93E086B8" w:tentative="1">
      <w:start w:val="1"/>
      <w:numFmt w:val="bullet"/>
      <w:lvlText w:val=""/>
      <w:lvlJc w:val="left"/>
      <w:pPr>
        <w:tabs>
          <w:tab w:val="num" w:pos="5040"/>
        </w:tabs>
        <w:ind w:left="5040" w:hanging="360"/>
      </w:pPr>
      <w:rPr>
        <w:rFonts w:ascii="Symbol" w:hAnsi="Symbol" w:hint="default"/>
      </w:rPr>
    </w:lvl>
    <w:lvl w:ilvl="7" w:tplc="E2DC99F6" w:tentative="1">
      <w:start w:val="1"/>
      <w:numFmt w:val="bullet"/>
      <w:lvlText w:val="o"/>
      <w:lvlJc w:val="left"/>
      <w:pPr>
        <w:tabs>
          <w:tab w:val="num" w:pos="5760"/>
        </w:tabs>
        <w:ind w:left="5760" w:hanging="360"/>
      </w:pPr>
      <w:rPr>
        <w:rFonts w:ascii="Courier New" w:hAnsi="Courier New" w:cs="Courier New" w:hint="default"/>
      </w:rPr>
    </w:lvl>
    <w:lvl w:ilvl="8" w:tplc="0628B0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6FA7456">
      <w:start w:val="1"/>
      <w:numFmt w:val="bullet"/>
      <w:pStyle w:val="Bullet4"/>
      <w:lvlText w:val=""/>
      <w:lvlJc w:val="left"/>
      <w:pPr>
        <w:tabs>
          <w:tab w:val="num" w:pos="2676"/>
        </w:tabs>
        <w:ind w:left="2676" w:hanging="357"/>
      </w:pPr>
      <w:rPr>
        <w:rFonts w:ascii="Symbol" w:hAnsi="Symbol" w:hint="default"/>
        <w:color w:val="000000"/>
      </w:rPr>
    </w:lvl>
    <w:lvl w:ilvl="1" w:tplc="9F40F486" w:tentative="1">
      <w:start w:val="1"/>
      <w:numFmt w:val="bullet"/>
      <w:lvlText w:val="o"/>
      <w:lvlJc w:val="left"/>
      <w:pPr>
        <w:tabs>
          <w:tab w:val="num" w:pos="1440"/>
        </w:tabs>
        <w:ind w:left="1440" w:hanging="360"/>
      </w:pPr>
      <w:rPr>
        <w:rFonts w:ascii="Courier New" w:hAnsi="Courier New" w:cs="Courier New" w:hint="default"/>
      </w:rPr>
    </w:lvl>
    <w:lvl w:ilvl="2" w:tplc="5CF24990" w:tentative="1">
      <w:start w:val="1"/>
      <w:numFmt w:val="bullet"/>
      <w:lvlText w:val=""/>
      <w:lvlJc w:val="left"/>
      <w:pPr>
        <w:tabs>
          <w:tab w:val="num" w:pos="2160"/>
        </w:tabs>
        <w:ind w:left="2160" w:hanging="360"/>
      </w:pPr>
      <w:rPr>
        <w:rFonts w:ascii="Wingdings" w:hAnsi="Wingdings" w:hint="default"/>
      </w:rPr>
    </w:lvl>
    <w:lvl w:ilvl="3" w:tplc="A4DAECDA" w:tentative="1">
      <w:start w:val="1"/>
      <w:numFmt w:val="bullet"/>
      <w:lvlText w:val=""/>
      <w:lvlJc w:val="left"/>
      <w:pPr>
        <w:tabs>
          <w:tab w:val="num" w:pos="2880"/>
        </w:tabs>
        <w:ind w:left="2880" w:hanging="360"/>
      </w:pPr>
      <w:rPr>
        <w:rFonts w:ascii="Symbol" w:hAnsi="Symbol" w:hint="default"/>
      </w:rPr>
    </w:lvl>
    <w:lvl w:ilvl="4" w:tplc="15408226" w:tentative="1">
      <w:start w:val="1"/>
      <w:numFmt w:val="bullet"/>
      <w:lvlText w:val="o"/>
      <w:lvlJc w:val="left"/>
      <w:pPr>
        <w:tabs>
          <w:tab w:val="num" w:pos="3600"/>
        </w:tabs>
        <w:ind w:left="3600" w:hanging="360"/>
      </w:pPr>
      <w:rPr>
        <w:rFonts w:ascii="Courier New" w:hAnsi="Courier New" w:cs="Courier New" w:hint="default"/>
      </w:rPr>
    </w:lvl>
    <w:lvl w:ilvl="5" w:tplc="77160BB0" w:tentative="1">
      <w:start w:val="1"/>
      <w:numFmt w:val="bullet"/>
      <w:lvlText w:val=""/>
      <w:lvlJc w:val="left"/>
      <w:pPr>
        <w:tabs>
          <w:tab w:val="num" w:pos="4320"/>
        </w:tabs>
        <w:ind w:left="4320" w:hanging="360"/>
      </w:pPr>
      <w:rPr>
        <w:rFonts w:ascii="Wingdings" w:hAnsi="Wingdings" w:hint="default"/>
      </w:rPr>
    </w:lvl>
    <w:lvl w:ilvl="6" w:tplc="DD5EF30E" w:tentative="1">
      <w:start w:val="1"/>
      <w:numFmt w:val="bullet"/>
      <w:lvlText w:val=""/>
      <w:lvlJc w:val="left"/>
      <w:pPr>
        <w:tabs>
          <w:tab w:val="num" w:pos="5040"/>
        </w:tabs>
        <w:ind w:left="5040" w:hanging="360"/>
      </w:pPr>
      <w:rPr>
        <w:rFonts w:ascii="Symbol" w:hAnsi="Symbol" w:hint="default"/>
      </w:rPr>
    </w:lvl>
    <w:lvl w:ilvl="7" w:tplc="11EE24DC" w:tentative="1">
      <w:start w:val="1"/>
      <w:numFmt w:val="bullet"/>
      <w:lvlText w:val="o"/>
      <w:lvlJc w:val="left"/>
      <w:pPr>
        <w:tabs>
          <w:tab w:val="num" w:pos="5760"/>
        </w:tabs>
        <w:ind w:left="5760" w:hanging="360"/>
      </w:pPr>
      <w:rPr>
        <w:rFonts w:ascii="Courier New" w:hAnsi="Courier New" w:cs="Courier New" w:hint="default"/>
      </w:rPr>
    </w:lvl>
    <w:lvl w:ilvl="8" w:tplc="928225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558D9F2">
      <w:start w:val="1"/>
      <w:numFmt w:val="bullet"/>
      <w:pStyle w:val="ClauseBullet2"/>
      <w:lvlText w:val=""/>
      <w:lvlJc w:val="left"/>
      <w:pPr>
        <w:ind w:left="1440" w:hanging="360"/>
      </w:pPr>
      <w:rPr>
        <w:rFonts w:ascii="Symbol" w:hAnsi="Symbol" w:hint="default"/>
        <w:color w:val="000000"/>
      </w:rPr>
    </w:lvl>
    <w:lvl w:ilvl="1" w:tplc="A09E7058" w:tentative="1">
      <w:start w:val="1"/>
      <w:numFmt w:val="bullet"/>
      <w:lvlText w:val="o"/>
      <w:lvlJc w:val="left"/>
      <w:pPr>
        <w:ind w:left="2160" w:hanging="360"/>
      </w:pPr>
      <w:rPr>
        <w:rFonts w:ascii="Courier New" w:hAnsi="Courier New" w:cs="Courier New" w:hint="default"/>
      </w:rPr>
    </w:lvl>
    <w:lvl w:ilvl="2" w:tplc="510CCD00" w:tentative="1">
      <w:start w:val="1"/>
      <w:numFmt w:val="bullet"/>
      <w:lvlText w:val=""/>
      <w:lvlJc w:val="left"/>
      <w:pPr>
        <w:ind w:left="2880" w:hanging="360"/>
      </w:pPr>
      <w:rPr>
        <w:rFonts w:ascii="Wingdings" w:hAnsi="Wingdings" w:hint="default"/>
      </w:rPr>
    </w:lvl>
    <w:lvl w:ilvl="3" w:tplc="031A62FA" w:tentative="1">
      <w:start w:val="1"/>
      <w:numFmt w:val="bullet"/>
      <w:lvlText w:val=""/>
      <w:lvlJc w:val="left"/>
      <w:pPr>
        <w:ind w:left="3600" w:hanging="360"/>
      </w:pPr>
      <w:rPr>
        <w:rFonts w:ascii="Symbol" w:hAnsi="Symbol" w:hint="default"/>
      </w:rPr>
    </w:lvl>
    <w:lvl w:ilvl="4" w:tplc="6D0619D6" w:tentative="1">
      <w:start w:val="1"/>
      <w:numFmt w:val="bullet"/>
      <w:lvlText w:val="o"/>
      <w:lvlJc w:val="left"/>
      <w:pPr>
        <w:ind w:left="4320" w:hanging="360"/>
      </w:pPr>
      <w:rPr>
        <w:rFonts w:ascii="Courier New" w:hAnsi="Courier New" w:cs="Courier New" w:hint="default"/>
      </w:rPr>
    </w:lvl>
    <w:lvl w:ilvl="5" w:tplc="770C7ADA" w:tentative="1">
      <w:start w:val="1"/>
      <w:numFmt w:val="bullet"/>
      <w:lvlText w:val=""/>
      <w:lvlJc w:val="left"/>
      <w:pPr>
        <w:ind w:left="5040" w:hanging="360"/>
      </w:pPr>
      <w:rPr>
        <w:rFonts w:ascii="Wingdings" w:hAnsi="Wingdings" w:hint="default"/>
      </w:rPr>
    </w:lvl>
    <w:lvl w:ilvl="6" w:tplc="891A1ECC" w:tentative="1">
      <w:start w:val="1"/>
      <w:numFmt w:val="bullet"/>
      <w:lvlText w:val=""/>
      <w:lvlJc w:val="left"/>
      <w:pPr>
        <w:ind w:left="5760" w:hanging="360"/>
      </w:pPr>
      <w:rPr>
        <w:rFonts w:ascii="Symbol" w:hAnsi="Symbol" w:hint="default"/>
      </w:rPr>
    </w:lvl>
    <w:lvl w:ilvl="7" w:tplc="BFEC557A" w:tentative="1">
      <w:start w:val="1"/>
      <w:numFmt w:val="bullet"/>
      <w:lvlText w:val="o"/>
      <w:lvlJc w:val="left"/>
      <w:pPr>
        <w:ind w:left="6480" w:hanging="360"/>
      </w:pPr>
      <w:rPr>
        <w:rFonts w:ascii="Courier New" w:hAnsi="Courier New" w:cs="Courier New" w:hint="default"/>
      </w:rPr>
    </w:lvl>
    <w:lvl w:ilvl="8" w:tplc="AE3CE72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3F762364">
      <w:start w:val="1"/>
      <w:numFmt w:val="bullet"/>
      <w:pStyle w:val="subclause1Bullet2"/>
      <w:lvlText w:val=""/>
      <w:lvlJc w:val="left"/>
      <w:pPr>
        <w:ind w:left="1440" w:hanging="360"/>
      </w:pPr>
      <w:rPr>
        <w:rFonts w:ascii="Symbol" w:hAnsi="Symbol" w:hint="default"/>
        <w:color w:val="000000"/>
      </w:rPr>
    </w:lvl>
    <w:lvl w:ilvl="1" w:tplc="3BF6C834" w:tentative="1">
      <w:start w:val="1"/>
      <w:numFmt w:val="bullet"/>
      <w:lvlText w:val="o"/>
      <w:lvlJc w:val="left"/>
      <w:pPr>
        <w:ind w:left="2160" w:hanging="360"/>
      </w:pPr>
      <w:rPr>
        <w:rFonts w:ascii="Courier New" w:hAnsi="Courier New" w:cs="Courier New" w:hint="default"/>
      </w:rPr>
    </w:lvl>
    <w:lvl w:ilvl="2" w:tplc="F60E0508" w:tentative="1">
      <w:start w:val="1"/>
      <w:numFmt w:val="bullet"/>
      <w:lvlText w:val=""/>
      <w:lvlJc w:val="left"/>
      <w:pPr>
        <w:ind w:left="2880" w:hanging="360"/>
      </w:pPr>
      <w:rPr>
        <w:rFonts w:ascii="Wingdings" w:hAnsi="Wingdings" w:hint="default"/>
      </w:rPr>
    </w:lvl>
    <w:lvl w:ilvl="3" w:tplc="63BC994E" w:tentative="1">
      <w:start w:val="1"/>
      <w:numFmt w:val="bullet"/>
      <w:lvlText w:val=""/>
      <w:lvlJc w:val="left"/>
      <w:pPr>
        <w:ind w:left="3600" w:hanging="360"/>
      </w:pPr>
      <w:rPr>
        <w:rFonts w:ascii="Symbol" w:hAnsi="Symbol" w:hint="default"/>
      </w:rPr>
    </w:lvl>
    <w:lvl w:ilvl="4" w:tplc="E5A0B190" w:tentative="1">
      <w:start w:val="1"/>
      <w:numFmt w:val="bullet"/>
      <w:lvlText w:val="o"/>
      <w:lvlJc w:val="left"/>
      <w:pPr>
        <w:ind w:left="4320" w:hanging="360"/>
      </w:pPr>
      <w:rPr>
        <w:rFonts w:ascii="Courier New" w:hAnsi="Courier New" w:cs="Courier New" w:hint="default"/>
      </w:rPr>
    </w:lvl>
    <w:lvl w:ilvl="5" w:tplc="73A4FA6E" w:tentative="1">
      <w:start w:val="1"/>
      <w:numFmt w:val="bullet"/>
      <w:lvlText w:val=""/>
      <w:lvlJc w:val="left"/>
      <w:pPr>
        <w:ind w:left="5040" w:hanging="360"/>
      </w:pPr>
      <w:rPr>
        <w:rFonts w:ascii="Wingdings" w:hAnsi="Wingdings" w:hint="default"/>
      </w:rPr>
    </w:lvl>
    <w:lvl w:ilvl="6" w:tplc="FF82ABA6" w:tentative="1">
      <w:start w:val="1"/>
      <w:numFmt w:val="bullet"/>
      <w:lvlText w:val=""/>
      <w:lvlJc w:val="left"/>
      <w:pPr>
        <w:ind w:left="5760" w:hanging="360"/>
      </w:pPr>
      <w:rPr>
        <w:rFonts w:ascii="Symbol" w:hAnsi="Symbol" w:hint="default"/>
      </w:rPr>
    </w:lvl>
    <w:lvl w:ilvl="7" w:tplc="6ADCF9BE" w:tentative="1">
      <w:start w:val="1"/>
      <w:numFmt w:val="bullet"/>
      <w:lvlText w:val="o"/>
      <w:lvlJc w:val="left"/>
      <w:pPr>
        <w:ind w:left="6480" w:hanging="360"/>
      </w:pPr>
      <w:rPr>
        <w:rFonts w:ascii="Courier New" w:hAnsi="Courier New" w:cs="Courier New" w:hint="default"/>
      </w:rPr>
    </w:lvl>
    <w:lvl w:ilvl="8" w:tplc="7FC2C67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5C72FBA6">
      <w:start w:val="1"/>
      <w:numFmt w:val="bullet"/>
      <w:pStyle w:val="subclause3Bullet1"/>
      <w:lvlText w:val=""/>
      <w:lvlJc w:val="left"/>
      <w:pPr>
        <w:ind w:left="2988" w:hanging="360"/>
      </w:pPr>
      <w:rPr>
        <w:rFonts w:ascii="Symbol" w:hAnsi="Symbol" w:hint="default"/>
        <w:color w:val="000000"/>
      </w:rPr>
    </w:lvl>
    <w:lvl w:ilvl="1" w:tplc="A64C5CEE" w:tentative="1">
      <w:start w:val="1"/>
      <w:numFmt w:val="bullet"/>
      <w:lvlText w:val="o"/>
      <w:lvlJc w:val="left"/>
      <w:pPr>
        <w:ind w:left="3708" w:hanging="360"/>
      </w:pPr>
      <w:rPr>
        <w:rFonts w:ascii="Courier New" w:hAnsi="Courier New" w:cs="Courier New" w:hint="default"/>
      </w:rPr>
    </w:lvl>
    <w:lvl w:ilvl="2" w:tplc="B0DEDF8E" w:tentative="1">
      <w:start w:val="1"/>
      <w:numFmt w:val="bullet"/>
      <w:lvlText w:val=""/>
      <w:lvlJc w:val="left"/>
      <w:pPr>
        <w:ind w:left="4428" w:hanging="360"/>
      </w:pPr>
      <w:rPr>
        <w:rFonts w:ascii="Wingdings" w:hAnsi="Wingdings" w:hint="default"/>
      </w:rPr>
    </w:lvl>
    <w:lvl w:ilvl="3" w:tplc="F814B2B6" w:tentative="1">
      <w:start w:val="1"/>
      <w:numFmt w:val="bullet"/>
      <w:lvlText w:val=""/>
      <w:lvlJc w:val="left"/>
      <w:pPr>
        <w:ind w:left="5148" w:hanging="360"/>
      </w:pPr>
      <w:rPr>
        <w:rFonts w:ascii="Symbol" w:hAnsi="Symbol" w:hint="default"/>
      </w:rPr>
    </w:lvl>
    <w:lvl w:ilvl="4" w:tplc="7696C3D4" w:tentative="1">
      <w:start w:val="1"/>
      <w:numFmt w:val="bullet"/>
      <w:lvlText w:val="o"/>
      <w:lvlJc w:val="left"/>
      <w:pPr>
        <w:ind w:left="5868" w:hanging="360"/>
      </w:pPr>
      <w:rPr>
        <w:rFonts w:ascii="Courier New" w:hAnsi="Courier New" w:cs="Courier New" w:hint="default"/>
      </w:rPr>
    </w:lvl>
    <w:lvl w:ilvl="5" w:tplc="269ED08E" w:tentative="1">
      <w:start w:val="1"/>
      <w:numFmt w:val="bullet"/>
      <w:lvlText w:val=""/>
      <w:lvlJc w:val="left"/>
      <w:pPr>
        <w:ind w:left="6588" w:hanging="360"/>
      </w:pPr>
      <w:rPr>
        <w:rFonts w:ascii="Wingdings" w:hAnsi="Wingdings" w:hint="default"/>
      </w:rPr>
    </w:lvl>
    <w:lvl w:ilvl="6" w:tplc="71541FD0" w:tentative="1">
      <w:start w:val="1"/>
      <w:numFmt w:val="bullet"/>
      <w:lvlText w:val=""/>
      <w:lvlJc w:val="left"/>
      <w:pPr>
        <w:ind w:left="7308" w:hanging="360"/>
      </w:pPr>
      <w:rPr>
        <w:rFonts w:ascii="Symbol" w:hAnsi="Symbol" w:hint="default"/>
      </w:rPr>
    </w:lvl>
    <w:lvl w:ilvl="7" w:tplc="B332224C" w:tentative="1">
      <w:start w:val="1"/>
      <w:numFmt w:val="bullet"/>
      <w:lvlText w:val="o"/>
      <w:lvlJc w:val="left"/>
      <w:pPr>
        <w:ind w:left="8028" w:hanging="360"/>
      </w:pPr>
      <w:rPr>
        <w:rFonts w:ascii="Courier New" w:hAnsi="Courier New" w:cs="Courier New" w:hint="default"/>
      </w:rPr>
    </w:lvl>
    <w:lvl w:ilvl="8" w:tplc="029455A6"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516E78C4">
      <w:start w:val="1"/>
      <w:numFmt w:val="bullet"/>
      <w:pStyle w:val="subclause2Bullet1"/>
      <w:lvlText w:val=""/>
      <w:lvlJc w:val="left"/>
      <w:pPr>
        <w:ind w:left="2279" w:hanging="360"/>
      </w:pPr>
      <w:rPr>
        <w:rFonts w:ascii="Symbol" w:hAnsi="Symbol" w:hint="default"/>
        <w:color w:val="000000"/>
      </w:rPr>
    </w:lvl>
    <w:lvl w:ilvl="1" w:tplc="731A4578" w:tentative="1">
      <w:start w:val="1"/>
      <w:numFmt w:val="bullet"/>
      <w:lvlText w:val="o"/>
      <w:lvlJc w:val="left"/>
      <w:pPr>
        <w:ind w:left="2999" w:hanging="360"/>
      </w:pPr>
      <w:rPr>
        <w:rFonts w:ascii="Courier New" w:hAnsi="Courier New" w:cs="Courier New" w:hint="default"/>
      </w:rPr>
    </w:lvl>
    <w:lvl w:ilvl="2" w:tplc="705E41E2" w:tentative="1">
      <w:start w:val="1"/>
      <w:numFmt w:val="bullet"/>
      <w:lvlText w:val=""/>
      <w:lvlJc w:val="left"/>
      <w:pPr>
        <w:ind w:left="3719" w:hanging="360"/>
      </w:pPr>
      <w:rPr>
        <w:rFonts w:ascii="Wingdings" w:hAnsi="Wingdings" w:hint="default"/>
      </w:rPr>
    </w:lvl>
    <w:lvl w:ilvl="3" w:tplc="F488CF54" w:tentative="1">
      <w:start w:val="1"/>
      <w:numFmt w:val="bullet"/>
      <w:lvlText w:val=""/>
      <w:lvlJc w:val="left"/>
      <w:pPr>
        <w:ind w:left="4439" w:hanging="360"/>
      </w:pPr>
      <w:rPr>
        <w:rFonts w:ascii="Symbol" w:hAnsi="Symbol" w:hint="default"/>
      </w:rPr>
    </w:lvl>
    <w:lvl w:ilvl="4" w:tplc="6BC60D8C" w:tentative="1">
      <w:start w:val="1"/>
      <w:numFmt w:val="bullet"/>
      <w:lvlText w:val="o"/>
      <w:lvlJc w:val="left"/>
      <w:pPr>
        <w:ind w:left="5159" w:hanging="360"/>
      </w:pPr>
      <w:rPr>
        <w:rFonts w:ascii="Courier New" w:hAnsi="Courier New" w:cs="Courier New" w:hint="default"/>
      </w:rPr>
    </w:lvl>
    <w:lvl w:ilvl="5" w:tplc="209C8BF4" w:tentative="1">
      <w:start w:val="1"/>
      <w:numFmt w:val="bullet"/>
      <w:lvlText w:val=""/>
      <w:lvlJc w:val="left"/>
      <w:pPr>
        <w:ind w:left="5879" w:hanging="360"/>
      </w:pPr>
      <w:rPr>
        <w:rFonts w:ascii="Wingdings" w:hAnsi="Wingdings" w:hint="default"/>
      </w:rPr>
    </w:lvl>
    <w:lvl w:ilvl="6" w:tplc="747E81A0" w:tentative="1">
      <w:start w:val="1"/>
      <w:numFmt w:val="bullet"/>
      <w:lvlText w:val=""/>
      <w:lvlJc w:val="left"/>
      <w:pPr>
        <w:ind w:left="6599" w:hanging="360"/>
      </w:pPr>
      <w:rPr>
        <w:rFonts w:ascii="Symbol" w:hAnsi="Symbol" w:hint="default"/>
      </w:rPr>
    </w:lvl>
    <w:lvl w:ilvl="7" w:tplc="41FEFF58" w:tentative="1">
      <w:start w:val="1"/>
      <w:numFmt w:val="bullet"/>
      <w:lvlText w:val="o"/>
      <w:lvlJc w:val="left"/>
      <w:pPr>
        <w:ind w:left="7319" w:hanging="360"/>
      </w:pPr>
      <w:rPr>
        <w:rFonts w:ascii="Courier New" w:hAnsi="Courier New" w:cs="Courier New" w:hint="default"/>
      </w:rPr>
    </w:lvl>
    <w:lvl w:ilvl="8" w:tplc="71809DBE"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19A66F1C">
      <w:start w:val="1"/>
      <w:numFmt w:val="bullet"/>
      <w:pStyle w:val="subclause1Bullet1"/>
      <w:lvlText w:val=""/>
      <w:lvlJc w:val="left"/>
      <w:pPr>
        <w:ind w:left="1440" w:hanging="360"/>
      </w:pPr>
      <w:rPr>
        <w:rFonts w:ascii="Symbol" w:hAnsi="Symbol" w:hint="default"/>
        <w:color w:val="000000"/>
      </w:rPr>
    </w:lvl>
    <w:lvl w:ilvl="1" w:tplc="0B762D80" w:tentative="1">
      <w:start w:val="1"/>
      <w:numFmt w:val="bullet"/>
      <w:lvlText w:val="o"/>
      <w:lvlJc w:val="left"/>
      <w:pPr>
        <w:ind w:left="2160" w:hanging="360"/>
      </w:pPr>
      <w:rPr>
        <w:rFonts w:ascii="Courier New" w:hAnsi="Courier New" w:cs="Courier New" w:hint="default"/>
      </w:rPr>
    </w:lvl>
    <w:lvl w:ilvl="2" w:tplc="116E2E66" w:tentative="1">
      <w:start w:val="1"/>
      <w:numFmt w:val="bullet"/>
      <w:lvlText w:val=""/>
      <w:lvlJc w:val="left"/>
      <w:pPr>
        <w:ind w:left="2880" w:hanging="360"/>
      </w:pPr>
      <w:rPr>
        <w:rFonts w:ascii="Wingdings" w:hAnsi="Wingdings" w:hint="default"/>
      </w:rPr>
    </w:lvl>
    <w:lvl w:ilvl="3" w:tplc="53B81B82" w:tentative="1">
      <w:start w:val="1"/>
      <w:numFmt w:val="bullet"/>
      <w:lvlText w:val=""/>
      <w:lvlJc w:val="left"/>
      <w:pPr>
        <w:ind w:left="3600" w:hanging="360"/>
      </w:pPr>
      <w:rPr>
        <w:rFonts w:ascii="Symbol" w:hAnsi="Symbol" w:hint="default"/>
      </w:rPr>
    </w:lvl>
    <w:lvl w:ilvl="4" w:tplc="BCDE11A2" w:tentative="1">
      <w:start w:val="1"/>
      <w:numFmt w:val="bullet"/>
      <w:lvlText w:val="o"/>
      <w:lvlJc w:val="left"/>
      <w:pPr>
        <w:ind w:left="4320" w:hanging="360"/>
      </w:pPr>
      <w:rPr>
        <w:rFonts w:ascii="Courier New" w:hAnsi="Courier New" w:cs="Courier New" w:hint="default"/>
      </w:rPr>
    </w:lvl>
    <w:lvl w:ilvl="5" w:tplc="B8924E90" w:tentative="1">
      <w:start w:val="1"/>
      <w:numFmt w:val="bullet"/>
      <w:lvlText w:val=""/>
      <w:lvlJc w:val="left"/>
      <w:pPr>
        <w:ind w:left="5040" w:hanging="360"/>
      </w:pPr>
      <w:rPr>
        <w:rFonts w:ascii="Wingdings" w:hAnsi="Wingdings" w:hint="default"/>
      </w:rPr>
    </w:lvl>
    <w:lvl w:ilvl="6" w:tplc="63D8E4E0" w:tentative="1">
      <w:start w:val="1"/>
      <w:numFmt w:val="bullet"/>
      <w:lvlText w:val=""/>
      <w:lvlJc w:val="left"/>
      <w:pPr>
        <w:ind w:left="5760" w:hanging="360"/>
      </w:pPr>
      <w:rPr>
        <w:rFonts w:ascii="Symbol" w:hAnsi="Symbol" w:hint="default"/>
      </w:rPr>
    </w:lvl>
    <w:lvl w:ilvl="7" w:tplc="EB20B49E" w:tentative="1">
      <w:start w:val="1"/>
      <w:numFmt w:val="bullet"/>
      <w:lvlText w:val="o"/>
      <w:lvlJc w:val="left"/>
      <w:pPr>
        <w:ind w:left="6480" w:hanging="360"/>
      </w:pPr>
      <w:rPr>
        <w:rFonts w:ascii="Courier New" w:hAnsi="Courier New" w:cs="Courier New" w:hint="default"/>
      </w:rPr>
    </w:lvl>
    <w:lvl w:ilvl="8" w:tplc="B704A03A"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5D2CBE62">
      <w:start w:val="1"/>
      <w:numFmt w:val="decimal"/>
      <w:pStyle w:val="LongQuestionPara"/>
      <w:lvlText w:val="%1."/>
      <w:lvlJc w:val="left"/>
      <w:pPr>
        <w:ind w:left="360" w:hanging="360"/>
      </w:pPr>
      <w:rPr>
        <w:rFonts w:hint="default"/>
        <w:b/>
        <w:i w:val="0"/>
        <w:color w:val="000000"/>
        <w:sz w:val="24"/>
      </w:rPr>
    </w:lvl>
    <w:lvl w:ilvl="1" w:tplc="648E3290" w:tentative="1">
      <w:start w:val="1"/>
      <w:numFmt w:val="lowerLetter"/>
      <w:lvlText w:val="%2."/>
      <w:lvlJc w:val="left"/>
      <w:pPr>
        <w:ind w:left="1440" w:hanging="360"/>
      </w:pPr>
    </w:lvl>
    <w:lvl w:ilvl="2" w:tplc="08841B46" w:tentative="1">
      <w:start w:val="1"/>
      <w:numFmt w:val="lowerRoman"/>
      <w:lvlText w:val="%3."/>
      <w:lvlJc w:val="right"/>
      <w:pPr>
        <w:ind w:left="2160" w:hanging="180"/>
      </w:pPr>
    </w:lvl>
    <w:lvl w:ilvl="3" w:tplc="A37E9CD6" w:tentative="1">
      <w:start w:val="1"/>
      <w:numFmt w:val="decimal"/>
      <w:lvlText w:val="%4."/>
      <w:lvlJc w:val="left"/>
      <w:pPr>
        <w:ind w:left="2880" w:hanging="360"/>
      </w:pPr>
    </w:lvl>
    <w:lvl w:ilvl="4" w:tplc="248C5326" w:tentative="1">
      <w:start w:val="1"/>
      <w:numFmt w:val="lowerLetter"/>
      <w:lvlText w:val="%5."/>
      <w:lvlJc w:val="left"/>
      <w:pPr>
        <w:ind w:left="3600" w:hanging="360"/>
      </w:pPr>
    </w:lvl>
    <w:lvl w:ilvl="5" w:tplc="56EE550A" w:tentative="1">
      <w:start w:val="1"/>
      <w:numFmt w:val="lowerRoman"/>
      <w:lvlText w:val="%6."/>
      <w:lvlJc w:val="right"/>
      <w:pPr>
        <w:ind w:left="4320" w:hanging="180"/>
      </w:pPr>
    </w:lvl>
    <w:lvl w:ilvl="6" w:tplc="CB668618" w:tentative="1">
      <w:start w:val="1"/>
      <w:numFmt w:val="decimal"/>
      <w:lvlText w:val="%7."/>
      <w:lvlJc w:val="left"/>
      <w:pPr>
        <w:ind w:left="5040" w:hanging="360"/>
      </w:pPr>
    </w:lvl>
    <w:lvl w:ilvl="7" w:tplc="CE24DFEC" w:tentative="1">
      <w:start w:val="1"/>
      <w:numFmt w:val="lowerLetter"/>
      <w:lvlText w:val="%8."/>
      <w:lvlJc w:val="left"/>
      <w:pPr>
        <w:ind w:left="5760" w:hanging="360"/>
      </w:pPr>
    </w:lvl>
    <w:lvl w:ilvl="8" w:tplc="E280E27C"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88140670">
      <w:start w:val="1"/>
      <w:numFmt w:val="bullet"/>
      <w:pStyle w:val="ClauseBullet1"/>
      <w:lvlText w:val=""/>
      <w:lvlJc w:val="left"/>
      <w:pPr>
        <w:ind w:left="1080" w:hanging="360"/>
      </w:pPr>
      <w:rPr>
        <w:rFonts w:ascii="Symbol" w:hAnsi="Symbol" w:hint="default"/>
        <w:color w:val="000000"/>
      </w:rPr>
    </w:lvl>
    <w:lvl w:ilvl="1" w:tplc="4EF45AC0" w:tentative="1">
      <w:start w:val="1"/>
      <w:numFmt w:val="bullet"/>
      <w:lvlText w:val="o"/>
      <w:lvlJc w:val="left"/>
      <w:pPr>
        <w:ind w:left="1800" w:hanging="360"/>
      </w:pPr>
      <w:rPr>
        <w:rFonts w:ascii="Courier New" w:hAnsi="Courier New" w:cs="Courier New" w:hint="default"/>
      </w:rPr>
    </w:lvl>
    <w:lvl w:ilvl="2" w:tplc="CFA216FA" w:tentative="1">
      <w:start w:val="1"/>
      <w:numFmt w:val="bullet"/>
      <w:lvlText w:val=""/>
      <w:lvlJc w:val="left"/>
      <w:pPr>
        <w:ind w:left="2520" w:hanging="360"/>
      </w:pPr>
      <w:rPr>
        <w:rFonts w:ascii="Wingdings" w:hAnsi="Wingdings" w:hint="default"/>
      </w:rPr>
    </w:lvl>
    <w:lvl w:ilvl="3" w:tplc="CEB480D2" w:tentative="1">
      <w:start w:val="1"/>
      <w:numFmt w:val="bullet"/>
      <w:lvlText w:val=""/>
      <w:lvlJc w:val="left"/>
      <w:pPr>
        <w:ind w:left="3240" w:hanging="360"/>
      </w:pPr>
      <w:rPr>
        <w:rFonts w:ascii="Symbol" w:hAnsi="Symbol" w:hint="default"/>
      </w:rPr>
    </w:lvl>
    <w:lvl w:ilvl="4" w:tplc="73D0615C" w:tentative="1">
      <w:start w:val="1"/>
      <w:numFmt w:val="bullet"/>
      <w:lvlText w:val="o"/>
      <w:lvlJc w:val="left"/>
      <w:pPr>
        <w:ind w:left="3960" w:hanging="360"/>
      </w:pPr>
      <w:rPr>
        <w:rFonts w:ascii="Courier New" w:hAnsi="Courier New" w:cs="Courier New" w:hint="default"/>
      </w:rPr>
    </w:lvl>
    <w:lvl w:ilvl="5" w:tplc="8A9E69D8" w:tentative="1">
      <w:start w:val="1"/>
      <w:numFmt w:val="bullet"/>
      <w:lvlText w:val=""/>
      <w:lvlJc w:val="left"/>
      <w:pPr>
        <w:ind w:left="4680" w:hanging="360"/>
      </w:pPr>
      <w:rPr>
        <w:rFonts w:ascii="Wingdings" w:hAnsi="Wingdings" w:hint="default"/>
      </w:rPr>
    </w:lvl>
    <w:lvl w:ilvl="6" w:tplc="01067EC6" w:tentative="1">
      <w:start w:val="1"/>
      <w:numFmt w:val="bullet"/>
      <w:lvlText w:val=""/>
      <w:lvlJc w:val="left"/>
      <w:pPr>
        <w:ind w:left="5400" w:hanging="360"/>
      </w:pPr>
      <w:rPr>
        <w:rFonts w:ascii="Symbol" w:hAnsi="Symbol" w:hint="default"/>
      </w:rPr>
    </w:lvl>
    <w:lvl w:ilvl="7" w:tplc="EDEC0646" w:tentative="1">
      <w:start w:val="1"/>
      <w:numFmt w:val="bullet"/>
      <w:lvlText w:val="o"/>
      <w:lvlJc w:val="left"/>
      <w:pPr>
        <w:ind w:left="6120" w:hanging="360"/>
      </w:pPr>
      <w:rPr>
        <w:rFonts w:ascii="Courier New" w:hAnsi="Courier New" w:cs="Courier New" w:hint="default"/>
      </w:rPr>
    </w:lvl>
    <w:lvl w:ilvl="8" w:tplc="2F844DA4"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E03E53D6">
      <w:start w:val="1"/>
      <w:numFmt w:val="bullet"/>
      <w:pStyle w:val="subclause3Bullet2"/>
      <w:lvlText w:val=""/>
      <w:lvlJc w:val="left"/>
      <w:pPr>
        <w:ind w:left="3748" w:hanging="360"/>
      </w:pPr>
      <w:rPr>
        <w:rFonts w:ascii="Symbol" w:hAnsi="Symbol" w:hint="default"/>
        <w:color w:val="000000"/>
      </w:rPr>
    </w:lvl>
    <w:lvl w:ilvl="1" w:tplc="BB9A8662" w:tentative="1">
      <w:start w:val="1"/>
      <w:numFmt w:val="bullet"/>
      <w:lvlText w:val="o"/>
      <w:lvlJc w:val="left"/>
      <w:pPr>
        <w:ind w:left="4468" w:hanging="360"/>
      </w:pPr>
      <w:rPr>
        <w:rFonts w:ascii="Courier New" w:hAnsi="Courier New" w:cs="Courier New" w:hint="default"/>
      </w:rPr>
    </w:lvl>
    <w:lvl w:ilvl="2" w:tplc="04686BFC" w:tentative="1">
      <w:start w:val="1"/>
      <w:numFmt w:val="bullet"/>
      <w:lvlText w:val=""/>
      <w:lvlJc w:val="left"/>
      <w:pPr>
        <w:ind w:left="5188" w:hanging="360"/>
      </w:pPr>
      <w:rPr>
        <w:rFonts w:ascii="Wingdings" w:hAnsi="Wingdings" w:hint="default"/>
      </w:rPr>
    </w:lvl>
    <w:lvl w:ilvl="3" w:tplc="0B76EBBA" w:tentative="1">
      <w:start w:val="1"/>
      <w:numFmt w:val="bullet"/>
      <w:lvlText w:val=""/>
      <w:lvlJc w:val="left"/>
      <w:pPr>
        <w:ind w:left="5908" w:hanging="360"/>
      </w:pPr>
      <w:rPr>
        <w:rFonts w:ascii="Symbol" w:hAnsi="Symbol" w:hint="default"/>
      </w:rPr>
    </w:lvl>
    <w:lvl w:ilvl="4" w:tplc="F39AE4FA" w:tentative="1">
      <w:start w:val="1"/>
      <w:numFmt w:val="bullet"/>
      <w:lvlText w:val="o"/>
      <w:lvlJc w:val="left"/>
      <w:pPr>
        <w:ind w:left="6628" w:hanging="360"/>
      </w:pPr>
      <w:rPr>
        <w:rFonts w:ascii="Courier New" w:hAnsi="Courier New" w:cs="Courier New" w:hint="default"/>
      </w:rPr>
    </w:lvl>
    <w:lvl w:ilvl="5" w:tplc="E8C6BC7E" w:tentative="1">
      <w:start w:val="1"/>
      <w:numFmt w:val="bullet"/>
      <w:lvlText w:val=""/>
      <w:lvlJc w:val="left"/>
      <w:pPr>
        <w:ind w:left="7348" w:hanging="360"/>
      </w:pPr>
      <w:rPr>
        <w:rFonts w:ascii="Wingdings" w:hAnsi="Wingdings" w:hint="default"/>
      </w:rPr>
    </w:lvl>
    <w:lvl w:ilvl="6" w:tplc="BD10AE36" w:tentative="1">
      <w:start w:val="1"/>
      <w:numFmt w:val="bullet"/>
      <w:lvlText w:val=""/>
      <w:lvlJc w:val="left"/>
      <w:pPr>
        <w:ind w:left="8068" w:hanging="360"/>
      </w:pPr>
      <w:rPr>
        <w:rFonts w:ascii="Symbol" w:hAnsi="Symbol" w:hint="default"/>
      </w:rPr>
    </w:lvl>
    <w:lvl w:ilvl="7" w:tplc="BFACCCD8" w:tentative="1">
      <w:start w:val="1"/>
      <w:numFmt w:val="bullet"/>
      <w:lvlText w:val="o"/>
      <w:lvlJc w:val="left"/>
      <w:pPr>
        <w:ind w:left="8788" w:hanging="360"/>
      </w:pPr>
      <w:rPr>
        <w:rFonts w:ascii="Courier New" w:hAnsi="Courier New" w:cs="Courier New" w:hint="default"/>
      </w:rPr>
    </w:lvl>
    <w:lvl w:ilvl="8" w:tplc="06426FA4"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00066430">
      <w:start w:val="1"/>
      <w:numFmt w:val="bullet"/>
      <w:pStyle w:val="BulletList1"/>
      <w:lvlText w:val="·"/>
      <w:lvlJc w:val="left"/>
      <w:pPr>
        <w:tabs>
          <w:tab w:val="num" w:pos="360"/>
        </w:tabs>
        <w:ind w:left="360" w:hanging="360"/>
      </w:pPr>
      <w:rPr>
        <w:rFonts w:ascii="Symbol" w:hAnsi="Symbol" w:hint="default"/>
        <w:color w:val="000000"/>
      </w:rPr>
    </w:lvl>
    <w:lvl w:ilvl="1" w:tplc="07E40F2C" w:tentative="1">
      <w:start w:val="1"/>
      <w:numFmt w:val="bullet"/>
      <w:lvlText w:val="·"/>
      <w:lvlJc w:val="left"/>
      <w:pPr>
        <w:tabs>
          <w:tab w:val="num" w:pos="1440"/>
        </w:tabs>
        <w:ind w:left="1440" w:hanging="360"/>
      </w:pPr>
      <w:rPr>
        <w:rFonts w:ascii="Symbol" w:hAnsi="Symbol" w:hint="default"/>
      </w:rPr>
    </w:lvl>
    <w:lvl w:ilvl="2" w:tplc="6548E2D4" w:tentative="1">
      <w:start w:val="1"/>
      <w:numFmt w:val="bullet"/>
      <w:lvlText w:val="·"/>
      <w:lvlJc w:val="left"/>
      <w:pPr>
        <w:tabs>
          <w:tab w:val="num" w:pos="2160"/>
        </w:tabs>
        <w:ind w:left="2160" w:hanging="360"/>
      </w:pPr>
      <w:rPr>
        <w:rFonts w:ascii="Symbol" w:hAnsi="Symbol" w:hint="default"/>
      </w:rPr>
    </w:lvl>
    <w:lvl w:ilvl="3" w:tplc="6D40C66E" w:tentative="1">
      <w:start w:val="1"/>
      <w:numFmt w:val="bullet"/>
      <w:lvlText w:val="·"/>
      <w:lvlJc w:val="left"/>
      <w:pPr>
        <w:tabs>
          <w:tab w:val="num" w:pos="2880"/>
        </w:tabs>
        <w:ind w:left="2880" w:hanging="360"/>
      </w:pPr>
      <w:rPr>
        <w:rFonts w:ascii="Symbol" w:hAnsi="Symbol" w:hint="default"/>
      </w:rPr>
    </w:lvl>
    <w:lvl w:ilvl="4" w:tplc="E7DC88D2" w:tentative="1">
      <w:start w:val="1"/>
      <w:numFmt w:val="bullet"/>
      <w:lvlText w:val="o"/>
      <w:lvlJc w:val="left"/>
      <w:pPr>
        <w:tabs>
          <w:tab w:val="num" w:pos="3600"/>
        </w:tabs>
        <w:ind w:left="3600" w:hanging="360"/>
      </w:pPr>
      <w:rPr>
        <w:rFonts w:ascii="Courier New" w:hAnsi="Courier New" w:hint="default"/>
      </w:rPr>
    </w:lvl>
    <w:lvl w:ilvl="5" w:tplc="4292678A" w:tentative="1">
      <w:start w:val="1"/>
      <w:numFmt w:val="bullet"/>
      <w:lvlText w:val="§"/>
      <w:lvlJc w:val="left"/>
      <w:pPr>
        <w:tabs>
          <w:tab w:val="num" w:pos="4320"/>
        </w:tabs>
        <w:ind w:left="4320" w:hanging="360"/>
      </w:pPr>
      <w:rPr>
        <w:rFonts w:ascii="Wingdings" w:hAnsi="Wingdings" w:hint="default"/>
      </w:rPr>
    </w:lvl>
    <w:lvl w:ilvl="6" w:tplc="A8A8D9E8" w:tentative="1">
      <w:start w:val="1"/>
      <w:numFmt w:val="bullet"/>
      <w:lvlText w:val="·"/>
      <w:lvlJc w:val="left"/>
      <w:pPr>
        <w:tabs>
          <w:tab w:val="num" w:pos="5040"/>
        </w:tabs>
        <w:ind w:left="5040" w:hanging="360"/>
      </w:pPr>
      <w:rPr>
        <w:rFonts w:ascii="Symbol" w:hAnsi="Symbol" w:hint="default"/>
      </w:rPr>
    </w:lvl>
    <w:lvl w:ilvl="7" w:tplc="25F6902C" w:tentative="1">
      <w:start w:val="1"/>
      <w:numFmt w:val="bullet"/>
      <w:lvlText w:val="o"/>
      <w:lvlJc w:val="left"/>
      <w:pPr>
        <w:tabs>
          <w:tab w:val="num" w:pos="5760"/>
        </w:tabs>
        <w:ind w:left="5760" w:hanging="360"/>
      </w:pPr>
      <w:rPr>
        <w:rFonts w:ascii="Courier New" w:hAnsi="Courier New" w:hint="default"/>
      </w:rPr>
    </w:lvl>
    <w:lvl w:ilvl="8" w:tplc="872AC2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11AA094E">
      <w:start w:val="1"/>
      <w:numFmt w:val="bullet"/>
      <w:pStyle w:val="BulletList3"/>
      <w:lvlText w:val=""/>
      <w:lvlJc w:val="left"/>
      <w:pPr>
        <w:tabs>
          <w:tab w:val="num" w:pos="1945"/>
        </w:tabs>
        <w:ind w:left="1945" w:hanging="357"/>
      </w:pPr>
      <w:rPr>
        <w:rFonts w:ascii="Symbol" w:hAnsi="Symbol" w:hint="default"/>
        <w:color w:val="000000"/>
      </w:rPr>
    </w:lvl>
    <w:lvl w:ilvl="1" w:tplc="60CCD63E" w:tentative="1">
      <w:start w:val="1"/>
      <w:numFmt w:val="bullet"/>
      <w:lvlText w:val="o"/>
      <w:lvlJc w:val="left"/>
      <w:pPr>
        <w:tabs>
          <w:tab w:val="num" w:pos="1440"/>
        </w:tabs>
        <w:ind w:left="1440" w:hanging="360"/>
      </w:pPr>
      <w:rPr>
        <w:rFonts w:ascii="Courier New" w:hAnsi="Courier New" w:cs="Courier New" w:hint="default"/>
      </w:rPr>
    </w:lvl>
    <w:lvl w:ilvl="2" w:tplc="B3F0AA00" w:tentative="1">
      <w:start w:val="1"/>
      <w:numFmt w:val="bullet"/>
      <w:lvlText w:val=""/>
      <w:lvlJc w:val="left"/>
      <w:pPr>
        <w:tabs>
          <w:tab w:val="num" w:pos="2160"/>
        </w:tabs>
        <w:ind w:left="2160" w:hanging="360"/>
      </w:pPr>
      <w:rPr>
        <w:rFonts w:ascii="Wingdings" w:hAnsi="Wingdings" w:hint="default"/>
      </w:rPr>
    </w:lvl>
    <w:lvl w:ilvl="3" w:tplc="2B76B4C2" w:tentative="1">
      <w:start w:val="1"/>
      <w:numFmt w:val="bullet"/>
      <w:lvlText w:val=""/>
      <w:lvlJc w:val="left"/>
      <w:pPr>
        <w:tabs>
          <w:tab w:val="num" w:pos="2880"/>
        </w:tabs>
        <w:ind w:left="2880" w:hanging="360"/>
      </w:pPr>
      <w:rPr>
        <w:rFonts w:ascii="Symbol" w:hAnsi="Symbol" w:hint="default"/>
      </w:rPr>
    </w:lvl>
    <w:lvl w:ilvl="4" w:tplc="086A106E" w:tentative="1">
      <w:start w:val="1"/>
      <w:numFmt w:val="bullet"/>
      <w:lvlText w:val="o"/>
      <w:lvlJc w:val="left"/>
      <w:pPr>
        <w:tabs>
          <w:tab w:val="num" w:pos="3600"/>
        </w:tabs>
        <w:ind w:left="3600" w:hanging="360"/>
      </w:pPr>
      <w:rPr>
        <w:rFonts w:ascii="Courier New" w:hAnsi="Courier New" w:cs="Courier New" w:hint="default"/>
      </w:rPr>
    </w:lvl>
    <w:lvl w:ilvl="5" w:tplc="999C8742" w:tentative="1">
      <w:start w:val="1"/>
      <w:numFmt w:val="bullet"/>
      <w:lvlText w:val=""/>
      <w:lvlJc w:val="left"/>
      <w:pPr>
        <w:tabs>
          <w:tab w:val="num" w:pos="4320"/>
        </w:tabs>
        <w:ind w:left="4320" w:hanging="360"/>
      </w:pPr>
      <w:rPr>
        <w:rFonts w:ascii="Wingdings" w:hAnsi="Wingdings" w:hint="default"/>
      </w:rPr>
    </w:lvl>
    <w:lvl w:ilvl="6" w:tplc="8744BE6E" w:tentative="1">
      <w:start w:val="1"/>
      <w:numFmt w:val="bullet"/>
      <w:lvlText w:val=""/>
      <w:lvlJc w:val="left"/>
      <w:pPr>
        <w:tabs>
          <w:tab w:val="num" w:pos="5040"/>
        </w:tabs>
        <w:ind w:left="5040" w:hanging="360"/>
      </w:pPr>
      <w:rPr>
        <w:rFonts w:ascii="Symbol" w:hAnsi="Symbol" w:hint="default"/>
      </w:rPr>
    </w:lvl>
    <w:lvl w:ilvl="7" w:tplc="1480DFEE" w:tentative="1">
      <w:start w:val="1"/>
      <w:numFmt w:val="bullet"/>
      <w:lvlText w:val="o"/>
      <w:lvlJc w:val="left"/>
      <w:pPr>
        <w:tabs>
          <w:tab w:val="num" w:pos="5760"/>
        </w:tabs>
        <w:ind w:left="5760" w:hanging="360"/>
      </w:pPr>
      <w:rPr>
        <w:rFonts w:ascii="Courier New" w:hAnsi="Courier New" w:cs="Courier New" w:hint="default"/>
      </w:rPr>
    </w:lvl>
    <w:lvl w:ilvl="8" w:tplc="6B168C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3"/>
    <w:multiLevelType w:val="multilevel"/>
    <w:tmpl w:val="7DB56453"/>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4"/>
    <w:multiLevelType w:val="multilevel"/>
    <w:tmpl w:val="7DB56453"/>
    <w:numStyleLink w:val="ScheduleListStyle"/>
  </w:abstractNum>
  <w:abstractNum w:abstractNumId="25" w15:restartNumberingAfterBreak="0">
    <w:nsid w:val="7DB56457"/>
    <w:multiLevelType w:val="multilevel"/>
    <w:tmpl w:val="7DB56457"/>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8"/>
    <w:multiLevelType w:val="multilevel"/>
    <w:tmpl w:val="7DB56457"/>
    <w:numStyleLink w:val="PartListStyle"/>
  </w:abstractNum>
  <w:abstractNum w:abstractNumId="27" w15:restartNumberingAfterBreak="0">
    <w:nsid w:val="7DB5645B"/>
    <w:multiLevelType w:val="multilevel"/>
    <w:tmpl w:val="7DB5645B"/>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C"/>
    <w:multiLevelType w:val="multilevel"/>
    <w:tmpl w:val="7DB5645B"/>
    <w:numStyleLink w:val="ClauseListStyle"/>
  </w:abstractNum>
  <w:num w:numId="1" w16cid:durableId="706564522">
    <w:abstractNumId w:val="18"/>
  </w:num>
  <w:num w:numId="2" w16cid:durableId="244654301">
    <w:abstractNumId w:val="19"/>
  </w:num>
  <w:num w:numId="3" w16cid:durableId="1342926014">
    <w:abstractNumId w:val="6"/>
  </w:num>
  <w:num w:numId="4" w16cid:durableId="230313026">
    <w:abstractNumId w:val="22"/>
  </w:num>
  <w:num w:numId="5" w16cid:durableId="1177426620">
    <w:abstractNumId w:val="21"/>
  </w:num>
  <w:num w:numId="6" w16cid:durableId="41563319">
    <w:abstractNumId w:val="2"/>
  </w:num>
  <w:num w:numId="7" w16cid:durableId="1657152727">
    <w:abstractNumId w:val="8"/>
  </w:num>
  <w:num w:numId="8" w16cid:durableId="678194828">
    <w:abstractNumId w:val="7"/>
  </w:num>
  <w:num w:numId="9" w16cid:durableId="356389259">
    <w:abstractNumId w:val="4"/>
  </w:num>
  <w:num w:numId="10" w16cid:durableId="532305043">
    <w:abstractNumId w:val="15"/>
  </w:num>
  <w:num w:numId="11" w16cid:durableId="1705328650">
    <w:abstractNumId w:val="3"/>
  </w:num>
  <w:num w:numId="12" w16cid:durableId="1810004539">
    <w:abstractNumId w:val="14"/>
  </w:num>
  <w:num w:numId="13" w16cid:durableId="1011449046">
    <w:abstractNumId w:val="16"/>
  </w:num>
  <w:num w:numId="14" w16cid:durableId="1252735212">
    <w:abstractNumId w:val="9"/>
  </w:num>
  <w:num w:numId="15" w16cid:durableId="941961731">
    <w:abstractNumId w:val="13"/>
  </w:num>
  <w:num w:numId="16" w16cid:durableId="1574974720">
    <w:abstractNumId w:val="11"/>
  </w:num>
  <w:num w:numId="17" w16cid:durableId="1054699482">
    <w:abstractNumId w:val="12"/>
  </w:num>
  <w:num w:numId="18" w16cid:durableId="908423697">
    <w:abstractNumId w:val="10"/>
  </w:num>
  <w:num w:numId="19" w16cid:durableId="1449276624">
    <w:abstractNumId w:val="5"/>
  </w:num>
  <w:num w:numId="20" w16cid:durableId="403261084">
    <w:abstractNumId w:val="17"/>
  </w:num>
  <w:num w:numId="21" w16cid:durableId="735587910">
    <w:abstractNumId w:val="1"/>
  </w:num>
  <w:num w:numId="22" w16cid:durableId="158624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917310">
    <w:abstractNumId w:val="20"/>
  </w:num>
  <w:num w:numId="24" w16cid:durableId="1279530704">
    <w:abstractNumId w:val="23"/>
  </w:num>
  <w:num w:numId="25" w16cid:durableId="1963068607">
    <w:abstractNumId w:val="24"/>
  </w:num>
  <w:num w:numId="26" w16cid:durableId="2091152291">
    <w:abstractNumId w:val="25"/>
  </w:num>
  <w:num w:numId="27" w16cid:durableId="1476991636">
    <w:abstractNumId w:val="26"/>
  </w:num>
  <w:num w:numId="28" w16cid:durableId="804585590">
    <w:abstractNumId w:val="27"/>
  </w:num>
  <w:num w:numId="29" w16cid:durableId="41782285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2D419E87-9292-467D-9189-903424013D88}"/>
  </w:docVars>
  <w:rsids>
    <w:rsidRoot w:val="004E674A"/>
    <w:rsid w:val="000C25CB"/>
    <w:rsid w:val="001364DC"/>
    <w:rsid w:val="001E321C"/>
    <w:rsid w:val="001E69A8"/>
    <w:rsid w:val="002F3A10"/>
    <w:rsid w:val="00420B42"/>
    <w:rsid w:val="004E674A"/>
    <w:rsid w:val="00516DBC"/>
    <w:rsid w:val="0053569C"/>
    <w:rsid w:val="00540DBC"/>
    <w:rsid w:val="00611539"/>
    <w:rsid w:val="0072769E"/>
    <w:rsid w:val="00791604"/>
    <w:rsid w:val="00803912"/>
    <w:rsid w:val="00822E71"/>
    <w:rsid w:val="00844D75"/>
    <w:rsid w:val="00863DE7"/>
    <w:rsid w:val="00895B08"/>
    <w:rsid w:val="00896E84"/>
    <w:rsid w:val="00942C39"/>
    <w:rsid w:val="009E5720"/>
    <w:rsid w:val="00A27442"/>
    <w:rsid w:val="00A41095"/>
    <w:rsid w:val="00A94059"/>
    <w:rsid w:val="00AC2926"/>
    <w:rsid w:val="00B13E70"/>
    <w:rsid w:val="00C26830"/>
    <w:rsid w:val="00CC5116"/>
    <w:rsid w:val="00D4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235B"/>
  <w15:docId w15:val="{7D9686FD-FC77-4DF1-8AF1-87C6692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5CB"/>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173507"/>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73507"/>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73507"/>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73507"/>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73507"/>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73507"/>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73507"/>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73507"/>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73507"/>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0C2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5CB"/>
  </w:style>
  <w:style w:type="paragraph" w:customStyle="1" w:styleId="Abstract">
    <w:name w:val="Abstract"/>
    <w:link w:val="AbstractChar"/>
    <w:rsid w:val="0017350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7350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73507"/>
    <w:pPr>
      <w:numPr>
        <w:numId w:val="11"/>
      </w:numPr>
      <w:spacing w:before="240" w:after="240"/>
      <w:ind w:left="0" w:firstLine="0"/>
    </w:pPr>
    <w:rPr>
      <w:b/>
    </w:rPr>
  </w:style>
  <w:style w:type="paragraph" w:customStyle="1" w:styleId="AuthoringGroup">
    <w:name w:val="Authoring Group"/>
    <w:link w:val="AuthoringGroupChar"/>
    <w:rsid w:val="0017350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73507"/>
    <w:rPr>
      <w:rFonts w:ascii="Arial" w:eastAsia="Arial Unicode MS" w:hAnsi="Arial" w:cs="Arial"/>
      <w:color w:val="000000"/>
      <w:sz w:val="24"/>
      <w:lang w:val="en-US" w:eastAsia="en-US"/>
    </w:rPr>
  </w:style>
  <w:style w:type="paragraph" w:customStyle="1" w:styleId="Background">
    <w:name w:val="Background"/>
    <w:aliases w:val="(A) Background"/>
    <w:basedOn w:val="Normal"/>
    <w:rsid w:val="00173507"/>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73507"/>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73507"/>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73507"/>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73507"/>
    <w:pPr>
      <w:keepNext/>
      <w:numPr>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73507"/>
    <w:rPr>
      <w:b w:val="0"/>
      <w:smallCaps/>
    </w:rPr>
  </w:style>
  <w:style w:type="paragraph" w:customStyle="1" w:styleId="ClosingPara">
    <w:name w:val="Closing Para"/>
    <w:basedOn w:val="Normal"/>
    <w:rsid w:val="00173507"/>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73507"/>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73507"/>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73507"/>
  </w:style>
  <w:style w:type="paragraph" w:customStyle="1" w:styleId="CoverSheetSubjectText">
    <w:name w:val="Cover Sheet Subject Text"/>
    <w:basedOn w:val="Normal"/>
    <w:rsid w:val="00173507"/>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73507"/>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73507"/>
    <w:pPr>
      <w:numPr>
        <w:numId w:val="23"/>
      </w:numPr>
    </w:pPr>
  </w:style>
  <w:style w:type="paragraph" w:customStyle="1" w:styleId="DescriptiveHeading">
    <w:name w:val="DescriptiveHeading"/>
    <w:next w:val="Paragraph"/>
    <w:link w:val="DescriptiveHeadingChar"/>
    <w:rsid w:val="0017350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73507"/>
    <w:rPr>
      <w:rFonts w:ascii="Arial" w:eastAsia="Arial Unicode MS" w:hAnsi="Arial" w:cs="Arial"/>
      <w:b/>
      <w:color w:val="000000"/>
      <w:lang w:val="en-US" w:eastAsia="en-US"/>
    </w:rPr>
  </w:style>
  <w:style w:type="paragraph" w:customStyle="1" w:styleId="DraftingnoteSection1Para">
    <w:name w:val="Draftingnote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73507"/>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73507"/>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73507"/>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73507"/>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73507"/>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7350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7350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7350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73507"/>
    <w:rPr>
      <w:rFonts w:ascii="Arial" w:eastAsia="Arial Unicode MS" w:hAnsi="Arial" w:cs="Arial"/>
      <w:color w:val="000000"/>
      <w:sz w:val="24"/>
      <w:lang w:val="en-US" w:eastAsia="en-US"/>
    </w:rPr>
  </w:style>
  <w:style w:type="paragraph" w:customStyle="1" w:styleId="MaintenanceEditor">
    <w:name w:val="Maintenance Editor"/>
    <w:link w:val="MaintenanceEditorChar"/>
    <w:rsid w:val="0017350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73507"/>
    <w:rPr>
      <w:rFonts w:ascii="Arial" w:eastAsia="Arial Unicode MS" w:hAnsi="Arial" w:cs="Arial"/>
      <w:color w:val="000000"/>
      <w:sz w:val="24"/>
      <w:lang w:val="en-US" w:eastAsia="en-US"/>
    </w:rPr>
  </w:style>
  <w:style w:type="paragraph" w:customStyle="1" w:styleId="ParaClause">
    <w:name w:val="Para Clause"/>
    <w:basedOn w:val="Normal"/>
    <w:rsid w:val="00173507"/>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73507"/>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73507"/>
    <w:pPr>
      <w:numPr>
        <w:ilvl w:val="1"/>
        <w:numId w:val="22"/>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73507"/>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73507"/>
    <w:pPr>
      <w:numPr>
        <w:ilvl w:val="2"/>
        <w:numId w:val="22"/>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73507"/>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73507"/>
    <w:pPr>
      <w:numPr>
        <w:ilvl w:val="3"/>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73507"/>
    <w:pPr>
      <w:spacing w:after="240"/>
      <w:ind w:left="3028"/>
    </w:pPr>
  </w:style>
  <w:style w:type="paragraph" w:customStyle="1" w:styleId="Untitledsubclause4">
    <w:name w:val="Untitled subclause 4"/>
    <w:basedOn w:val="Normal"/>
    <w:rsid w:val="00173507"/>
    <w:pPr>
      <w:numPr>
        <w:ilvl w:val="4"/>
        <w:numId w:val="22"/>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73507"/>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73507"/>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7350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7350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7350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7350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7350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73507"/>
    <w:rPr>
      <w:rFonts w:ascii="Arial" w:eastAsia="Arial Unicode MS" w:hAnsi="Arial" w:cs="Arial"/>
      <w:b/>
      <w:bCs/>
      <w:color w:val="000000"/>
      <w:sz w:val="24"/>
      <w:lang w:val="en-US" w:eastAsia="en-US"/>
    </w:rPr>
  </w:style>
  <w:style w:type="paragraph" w:customStyle="1" w:styleId="ResourceType">
    <w:name w:val="Resource Type"/>
    <w:link w:val="Resourc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7350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73507"/>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73507"/>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73507"/>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173507"/>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73507"/>
    <w:rPr>
      <w:rFonts w:ascii="Arial" w:eastAsia="Arial Unicode MS" w:hAnsi="Arial" w:cs="Arial"/>
      <w:color w:val="000000"/>
      <w:sz w:val="24"/>
      <w:szCs w:val="24"/>
      <w:lang w:val="en-US" w:eastAsia="en-US"/>
    </w:rPr>
  </w:style>
  <w:style w:type="paragraph" w:styleId="Title">
    <w:name w:val="Title"/>
    <w:link w:val="TitleChar"/>
    <w:rsid w:val="0017350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73507"/>
    <w:rPr>
      <w:rFonts w:ascii="Arial" w:eastAsia="Arial Unicode MS" w:hAnsi="Arial" w:cs="Arial"/>
      <w:color w:val="000000"/>
      <w:sz w:val="24"/>
      <w:lang w:val="en-US" w:eastAsia="en-US"/>
    </w:rPr>
  </w:style>
  <w:style w:type="paragraph" w:styleId="Footer">
    <w:name w:val="footer"/>
    <w:basedOn w:val="Normal"/>
    <w:link w:val="FooterChar"/>
    <w:rsid w:val="00173507"/>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7350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73507"/>
    <w:rPr>
      <w:i/>
      <w:color w:val="000000"/>
      <w:u w:val="single"/>
    </w:rPr>
  </w:style>
  <w:style w:type="paragraph" w:customStyle="1" w:styleId="Bullet4">
    <w:name w:val="Bullet4"/>
    <w:basedOn w:val="Normal"/>
    <w:rsid w:val="00173507"/>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73507"/>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7350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73507"/>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73507"/>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73507"/>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73507"/>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73507"/>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73507"/>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73507"/>
    <w:rPr>
      <w:color w:val="000000"/>
    </w:rPr>
  </w:style>
  <w:style w:type="character" w:styleId="PlaceholderText">
    <w:name w:val="Placeholder Text"/>
    <w:basedOn w:val="DefaultParagraphFont"/>
    <w:uiPriority w:val="99"/>
    <w:rsid w:val="00173507"/>
    <w:rPr>
      <w:color w:val="000000"/>
    </w:rPr>
  </w:style>
  <w:style w:type="paragraph" w:styleId="BalloonText">
    <w:name w:val="Balloon Text"/>
    <w:basedOn w:val="Normal"/>
    <w:link w:val="BalloonTextChar"/>
    <w:uiPriority w:val="99"/>
    <w:semiHidden/>
    <w:unhideWhenUsed/>
    <w:rsid w:val="0017350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73507"/>
    <w:rPr>
      <w:rFonts w:ascii="Tahoma" w:hAnsi="Tahoma" w:cs="Tahoma"/>
      <w:color w:val="000000"/>
      <w:sz w:val="16"/>
      <w:szCs w:val="16"/>
    </w:rPr>
  </w:style>
  <w:style w:type="paragraph" w:customStyle="1" w:styleId="PinPointRef">
    <w:name w:val="PinPoint Ref"/>
    <w:link w:val="PinPointRefChar"/>
    <w:qFormat/>
    <w:rsid w:val="0017350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7350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7350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7350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7350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7350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7350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73507"/>
    <w:rPr>
      <w:rFonts w:ascii="Arial" w:eastAsia="Arial Unicode MS" w:hAnsi="Arial" w:cs="Arial"/>
      <w:color w:val="000000"/>
      <w:szCs w:val="24"/>
      <w:lang w:val="en-US" w:eastAsia="en-US"/>
    </w:rPr>
  </w:style>
  <w:style w:type="paragraph" w:customStyle="1" w:styleId="IntroDefault">
    <w:name w:val="Intro Default"/>
    <w:basedOn w:val="Paragraph"/>
    <w:qFormat/>
    <w:rsid w:val="00173507"/>
  </w:style>
  <w:style w:type="paragraph" w:customStyle="1" w:styleId="IntroCustom">
    <w:name w:val="Intro Custom"/>
    <w:basedOn w:val="Paragraph"/>
    <w:qFormat/>
    <w:rsid w:val="00173507"/>
  </w:style>
  <w:style w:type="paragraph" w:customStyle="1" w:styleId="PrecedentType">
    <w:name w:val="Precedent Type"/>
    <w:basedOn w:val="IgnoredSpacing"/>
    <w:qFormat/>
    <w:rsid w:val="00173507"/>
  </w:style>
  <w:style w:type="paragraph" w:customStyle="1" w:styleId="Operative">
    <w:name w:val="Operative"/>
    <w:basedOn w:val="IgnoredSpacing"/>
    <w:qFormat/>
    <w:rsid w:val="00173507"/>
    <w:rPr>
      <w:vanish/>
    </w:rPr>
  </w:style>
  <w:style w:type="paragraph" w:customStyle="1" w:styleId="SpeedreadBulletList1">
    <w:name w:val="Speedread Bullet List 1"/>
    <w:basedOn w:val="BulletList1"/>
    <w:qFormat/>
    <w:rsid w:val="00173507"/>
  </w:style>
  <w:style w:type="paragraph" w:customStyle="1" w:styleId="PartiesTitle">
    <w:name w:val="Parties Title"/>
    <w:basedOn w:val="Paragraph"/>
    <w:qFormat/>
    <w:rsid w:val="00173507"/>
    <w:rPr>
      <w:b/>
    </w:rPr>
  </w:style>
  <w:style w:type="table" w:styleId="TableGrid">
    <w:name w:val="Table Grid"/>
    <w:basedOn w:val="TableNormal"/>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73507"/>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7350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73507"/>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73507"/>
    <w:pPr>
      <w:shd w:val="clear" w:color="auto" w:fill="D9D9D9" w:themeFill="background1" w:themeFillShade="D9"/>
      <w:ind w:left="1077"/>
    </w:pPr>
  </w:style>
  <w:style w:type="paragraph" w:customStyle="1" w:styleId="TestimoniumContract">
    <w:name w:val="Testimonium Contract"/>
    <w:basedOn w:val="Paragraph"/>
    <w:qFormat/>
    <w:rsid w:val="00173507"/>
  </w:style>
  <w:style w:type="paragraph" w:customStyle="1" w:styleId="TestimoniumDeed">
    <w:name w:val="Testimonium Deed"/>
    <w:basedOn w:val="Paragraph"/>
    <w:qFormat/>
    <w:rsid w:val="00173507"/>
  </w:style>
  <w:style w:type="paragraph" w:customStyle="1" w:styleId="Titlesubclause2">
    <w:name w:val="Title subclause2"/>
    <w:basedOn w:val="Untitledsubclause2"/>
    <w:qFormat/>
    <w:rsid w:val="00173507"/>
    <w:rPr>
      <w:b/>
    </w:rPr>
  </w:style>
  <w:style w:type="paragraph" w:customStyle="1" w:styleId="Titlesubclause3">
    <w:name w:val="Title subclause3"/>
    <w:basedOn w:val="Untitledsubclause3"/>
    <w:qFormat/>
    <w:rsid w:val="00173507"/>
    <w:rPr>
      <w:b/>
    </w:rPr>
  </w:style>
  <w:style w:type="paragraph" w:customStyle="1" w:styleId="Titlesubclause4">
    <w:name w:val="Title subclause4"/>
    <w:basedOn w:val="Untitledsubclause4"/>
    <w:qFormat/>
    <w:rsid w:val="00173507"/>
    <w:rPr>
      <w:b/>
    </w:rPr>
  </w:style>
  <w:style w:type="paragraph" w:customStyle="1" w:styleId="UntitledClause">
    <w:name w:val="Untitled Clause"/>
    <w:basedOn w:val="TitleClause"/>
    <w:qFormat/>
    <w:rsid w:val="00173507"/>
    <w:pPr>
      <w:spacing w:before="120"/>
    </w:pPr>
    <w:rPr>
      <w:b w:val="0"/>
    </w:rPr>
  </w:style>
  <w:style w:type="paragraph" w:customStyle="1" w:styleId="Titlesubclause1">
    <w:name w:val="Title subclause1"/>
    <w:basedOn w:val="Untitledsubclause1"/>
    <w:qFormat/>
    <w:rsid w:val="00173507"/>
    <w:pPr>
      <w:spacing w:before="120"/>
    </w:pPr>
    <w:rPr>
      <w:b/>
    </w:rPr>
  </w:style>
  <w:style w:type="paragraph" w:customStyle="1" w:styleId="Schedule">
    <w:name w:val="Schedule"/>
    <w:qFormat/>
    <w:rsid w:val="00173507"/>
    <w:pPr>
      <w:numPr>
        <w:numId w:val="25"/>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73507"/>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173507"/>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173507"/>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173507"/>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173507"/>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173507"/>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173507"/>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173507"/>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173507"/>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173507"/>
    <w:rPr>
      <w:b/>
    </w:rPr>
  </w:style>
  <w:style w:type="paragraph" w:customStyle="1" w:styleId="Part">
    <w:name w:val="Part"/>
    <w:basedOn w:val="Paragraph"/>
    <w:qFormat/>
    <w:rsid w:val="00173507"/>
    <w:pPr>
      <w:numPr>
        <w:numId w:val="27"/>
      </w:numPr>
      <w:spacing w:before="240" w:after="240"/>
      <w:jc w:val="left"/>
    </w:pPr>
    <w:rPr>
      <w:b/>
    </w:rPr>
  </w:style>
  <w:style w:type="paragraph" w:customStyle="1" w:styleId="AnnexTitle">
    <w:name w:val="Annex Title"/>
    <w:basedOn w:val="Paragraph"/>
    <w:next w:val="Paragraph"/>
    <w:qFormat/>
    <w:rsid w:val="00173507"/>
    <w:pPr>
      <w:spacing w:before="240" w:after="240"/>
    </w:pPr>
    <w:rPr>
      <w:b/>
    </w:rPr>
  </w:style>
  <w:style w:type="paragraph" w:customStyle="1" w:styleId="PartTitle">
    <w:name w:val="Part Title"/>
    <w:basedOn w:val="Paragraph"/>
    <w:qFormat/>
    <w:rsid w:val="00173507"/>
    <w:rPr>
      <w:b/>
    </w:rPr>
  </w:style>
  <w:style w:type="paragraph" w:customStyle="1" w:styleId="Testimonium">
    <w:name w:val="Testimonium"/>
    <w:basedOn w:val="Paragraph"/>
    <w:qFormat/>
    <w:rsid w:val="00173507"/>
  </w:style>
  <w:style w:type="character" w:customStyle="1" w:styleId="apple-converted-space">
    <w:name w:val="apple-converted-space"/>
    <w:basedOn w:val="DefaultParagraphFont"/>
    <w:rsid w:val="00173507"/>
    <w:rPr>
      <w:color w:val="000000"/>
    </w:rPr>
  </w:style>
  <w:style w:type="character" w:styleId="Emphasis">
    <w:name w:val="Emphasis"/>
    <w:basedOn w:val="DefaultParagraphFont"/>
    <w:uiPriority w:val="20"/>
    <w:qFormat/>
    <w:rsid w:val="00173507"/>
    <w:rPr>
      <w:i/>
      <w:iCs/>
      <w:color w:val="000000"/>
    </w:rPr>
  </w:style>
  <w:style w:type="paragraph" w:customStyle="1" w:styleId="NoNumTitle-Clause">
    <w:name w:val="No Num Title - Clause"/>
    <w:basedOn w:val="TitleClause"/>
    <w:qFormat/>
    <w:rsid w:val="00173507"/>
    <w:pPr>
      <w:numPr>
        <w:numId w:val="0"/>
      </w:numPr>
      <w:ind w:left="720"/>
    </w:pPr>
  </w:style>
  <w:style w:type="paragraph" w:customStyle="1" w:styleId="NoNumTitlesubclause1">
    <w:name w:val="No Num Title subclause1"/>
    <w:basedOn w:val="Titlesubclause1"/>
    <w:qFormat/>
    <w:rsid w:val="00173507"/>
    <w:pPr>
      <w:numPr>
        <w:ilvl w:val="0"/>
        <w:numId w:val="0"/>
      </w:numPr>
      <w:ind w:left="720"/>
    </w:pPr>
  </w:style>
  <w:style w:type="paragraph" w:customStyle="1" w:styleId="AddressLine">
    <w:name w:val="Address Line"/>
    <w:basedOn w:val="Paragraph"/>
    <w:qFormat/>
    <w:rsid w:val="00173507"/>
  </w:style>
  <w:style w:type="paragraph" w:styleId="Date">
    <w:name w:val="Date"/>
    <w:basedOn w:val="Paragraph"/>
    <w:qFormat/>
    <w:rsid w:val="00173507"/>
  </w:style>
  <w:style w:type="paragraph" w:customStyle="1" w:styleId="SalutationPara">
    <w:name w:val="Salutation Para"/>
    <w:basedOn w:val="Paragraph"/>
    <w:next w:val="Paragraph"/>
    <w:qFormat/>
    <w:rsid w:val="00173507"/>
    <w:pPr>
      <w:spacing w:before="240"/>
    </w:pPr>
  </w:style>
  <w:style w:type="character" w:styleId="FollowedHyperlink">
    <w:name w:val="FollowedHyperlink"/>
    <w:basedOn w:val="DefaultParagraphFont"/>
    <w:uiPriority w:val="99"/>
    <w:semiHidden/>
    <w:unhideWhenUsed/>
    <w:rsid w:val="00173507"/>
    <w:rPr>
      <w:i/>
      <w:color w:val="000000"/>
      <w:u w:val="single"/>
    </w:rPr>
  </w:style>
  <w:style w:type="character" w:customStyle="1" w:styleId="DefTerm">
    <w:name w:val="DefTerm"/>
    <w:basedOn w:val="DefaultParagraphFont"/>
    <w:uiPriority w:val="1"/>
    <w:qFormat/>
    <w:rsid w:val="00173507"/>
    <w:rPr>
      <w:b/>
      <w:color w:val="000000"/>
    </w:rPr>
  </w:style>
  <w:style w:type="table" w:customStyle="1" w:styleId="ShadedTable">
    <w:name w:val="Shaded Table"/>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73507"/>
    <w:rPr>
      <w:i/>
    </w:rPr>
  </w:style>
  <w:style w:type="paragraph" w:customStyle="1" w:styleId="LetterTitle">
    <w:name w:val="Letter Title"/>
    <w:basedOn w:val="Paragraph"/>
    <w:qFormat/>
    <w:rsid w:val="00173507"/>
    <w:rPr>
      <w:b/>
    </w:rPr>
  </w:style>
  <w:style w:type="paragraph" w:customStyle="1" w:styleId="LongQuestionPara">
    <w:name w:val="Long Question Para"/>
    <w:basedOn w:val="Paragraph"/>
    <w:link w:val="LongQuestionParaChar"/>
    <w:rsid w:val="0017350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73507"/>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7350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73507"/>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73507"/>
    <w:rPr>
      <w:rFonts w:ascii="Arial" w:eastAsia="Arial Unicode MS" w:hAnsi="Arial" w:cs="Arial"/>
      <w:color w:val="000000"/>
      <w:szCs w:val="20"/>
      <w:lang w:eastAsia="en-US"/>
    </w:rPr>
  </w:style>
  <w:style w:type="paragraph" w:customStyle="1" w:styleId="811D3A974D454A258B71E3C4DE24C4F210">
    <w:name w:val="811D3A974D454A258B71E3C4DE24C4F210"/>
    <w:rsid w:val="009E507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7350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73507"/>
    <w:pPr>
      <w:jc w:val="center"/>
    </w:pPr>
    <w:rPr>
      <w:sz w:val="28"/>
    </w:rPr>
  </w:style>
  <w:style w:type="paragraph" w:customStyle="1" w:styleId="Title-Clause">
    <w:name w:val="Title - Clause"/>
    <w:aliases w:val="BIWS Heading 1"/>
    <w:basedOn w:val="Normal"/>
    <w:rsid w:val="00173507"/>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73507"/>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73507"/>
    <w:pPr>
      <w:spacing w:before="120"/>
    </w:pPr>
    <w:rPr>
      <w:b w:val="0"/>
    </w:rPr>
  </w:style>
  <w:style w:type="paragraph" w:customStyle="1" w:styleId="CoversheetParagraph">
    <w:name w:val="Coversheet Paragraph"/>
    <w:basedOn w:val="Normal"/>
    <w:autoRedefine/>
    <w:rsid w:val="00173507"/>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73507"/>
    <w:rPr>
      <w:smallCaps w:val="0"/>
      <w:sz w:val="22"/>
    </w:rPr>
  </w:style>
  <w:style w:type="paragraph" w:customStyle="1" w:styleId="CoversheetStaticText">
    <w:name w:val="Coversheet Static Text"/>
    <w:basedOn w:val="CoversheetIntro"/>
    <w:qFormat/>
    <w:rsid w:val="00173507"/>
    <w:rPr>
      <w:b w:val="0"/>
    </w:rPr>
  </w:style>
  <w:style w:type="paragraph" w:customStyle="1" w:styleId="CoversheetParty">
    <w:name w:val="Coversheet Party"/>
    <w:basedOn w:val="CoversheetIntro"/>
    <w:qFormat/>
    <w:rsid w:val="00173507"/>
  </w:style>
  <w:style w:type="paragraph" w:customStyle="1" w:styleId="NoNumUntitledClause">
    <w:name w:val="No Num Untitled Clause"/>
    <w:basedOn w:val="UntitledClause"/>
    <w:qFormat/>
    <w:rsid w:val="00173507"/>
    <w:pPr>
      <w:numPr>
        <w:numId w:val="0"/>
      </w:numPr>
      <w:ind w:left="720"/>
    </w:pPr>
  </w:style>
  <w:style w:type="paragraph" w:customStyle="1" w:styleId="BackgroundSubclause1">
    <w:name w:val="Background Subclause1"/>
    <w:basedOn w:val="Background"/>
    <w:qFormat/>
    <w:rsid w:val="00173507"/>
    <w:pPr>
      <w:numPr>
        <w:ilvl w:val="1"/>
      </w:numPr>
    </w:pPr>
  </w:style>
  <w:style w:type="paragraph" w:customStyle="1" w:styleId="BackgroundSubclause2">
    <w:name w:val="Background Subclause2"/>
    <w:basedOn w:val="Background"/>
    <w:qFormat/>
    <w:rsid w:val="00173507"/>
    <w:pPr>
      <w:numPr>
        <w:ilvl w:val="3"/>
      </w:numPr>
    </w:pPr>
  </w:style>
  <w:style w:type="paragraph" w:customStyle="1" w:styleId="HeadingLevel2CQA">
    <w:name w:val="Heading Level 2 CQA"/>
    <w:basedOn w:val="HeadingLevel2"/>
    <w:qFormat/>
    <w:rsid w:val="00173507"/>
  </w:style>
  <w:style w:type="paragraph" w:customStyle="1" w:styleId="ClauseBullet1">
    <w:name w:val="Clause Bullet 1"/>
    <w:basedOn w:val="ParaClause"/>
    <w:qFormat/>
    <w:rsid w:val="00173507"/>
    <w:pPr>
      <w:numPr>
        <w:numId w:val="13"/>
      </w:numPr>
      <w:ind w:left="1077" w:hanging="357"/>
      <w:outlineLvl w:val="0"/>
    </w:pPr>
  </w:style>
  <w:style w:type="paragraph" w:customStyle="1" w:styleId="ClauseBullet2">
    <w:name w:val="Clause Bullet 2"/>
    <w:basedOn w:val="ParaClause"/>
    <w:qFormat/>
    <w:rsid w:val="00173507"/>
    <w:pPr>
      <w:numPr>
        <w:numId w:val="14"/>
      </w:numPr>
      <w:ind w:left="1434" w:hanging="357"/>
      <w:outlineLvl w:val="1"/>
    </w:pPr>
  </w:style>
  <w:style w:type="paragraph" w:customStyle="1" w:styleId="subclause1Bullet1">
    <w:name w:val="subclause 1 Bullet 1"/>
    <w:basedOn w:val="Parasubclause1"/>
    <w:qFormat/>
    <w:rsid w:val="00173507"/>
    <w:pPr>
      <w:numPr>
        <w:numId w:val="15"/>
      </w:numPr>
      <w:ind w:left="1077" w:hanging="357"/>
    </w:pPr>
  </w:style>
  <w:style w:type="paragraph" w:customStyle="1" w:styleId="subclause2Bullet1">
    <w:name w:val="subclause 2 Bullet 1"/>
    <w:basedOn w:val="Parasubclause2"/>
    <w:qFormat/>
    <w:rsid w:val="00173507"/>
    <w:pPr>
      <w:numPr>
        <w:numId w:val="17"/>
      </w:numPr>
      <w:ind w:left="1434" w:hanging="357"/>
    </w:pPr>
  </w:style>
  <w:style w:type="paragraph" w:customStyle="1" w:styleId="subclause3Bullet1">
    <w:name w:val="subclause 3 Bullet 1"/>
    <w:basedOn w:val="Parasubclause3"/>
    <w:qFormat/>
    <w:rsid w:val="00173507"/>
    <w:pPr>
      <w:numPr>
        <w:numId w:val="16"/>
      </w:numPr>
      <w:ind w:left="2273" w:hanging="357"/>
    </w:pPr>
  </w:style>
  <w:style w:type="paragraph" w:customStyle="1" w:styleId="subclause1Bullet2">
    <w:name w:val="subclause 1 Bullet 2"/>
    <w:basedOn w:val="Parasubclause1"/>
    <w:qFormat/>
    <w:rsid w:val="00173507"/>
    <w:pPr>
      <w:numPr>
        <w:numId w:val="18"/>
      </w:numPr>
      <w:ind w:left="1434" w:hanging="357"/>
    </w:pPr>
  </w:style>
  <w:style w:type="paragraph" w:customStyle="1" w:styleId="subclause2Bullet2">
    <w:name w:val="subclause 2 Bullet 2"/>
    <w:basedOn w:val="Parasubclause2"/>
    <w:qFormat/>
    <w:rsid w:val="00173507"/>
    <w:pPr>
      <w:numPr>
        <w:numId w:val="19"/>
      </w:numPr>
      <w:ind w:left="2273" w:hanging="357"/>
    </w:pPr>
  </w:style>
  <w:style w:type="paragraph" w:customStyle="1" w:styleId="subclause3Bullet2">
    <w:name w:val="subclause 3 Bullet 2"/>
    <w:basedOn w:val="Parasubclause3"/>
    <w:qFormat/>
    <w:rsid w:val="00173507"/>
    <w:pPr>
      <w:numPr>
        <w:numId w:val="20"/>
      </w:numPr>
      <w:ind w:left="2982" w:hanging="357"/>
    </w:pPr>
  </w:style>
  <w:style w:type="paragraph" w:customStyle="1" w:styleId="DefinedTermBullet">
    <w:name w:val="Defined Term Bullet"/>
    <w:basedOn w:val="DefinedTermPara"/>
    <w:qFormat/>
    <w:rsid w:val="00173507"/>
    <w:pPr>
      <w:numPr>
        <w:numId w:val="21"/>
      </w:numPr>
    </w:pPr>
  </w:style>
  <w:style w:type="paragraph" w:customStyle="1" w:styleId="DefinedTermNumber">
    <w:name w:val="Defined Term Number"/>
    <w:basedOn w:val="DefinedTermPara"/>
    <w:qFormat/>
    <w:rsid w:val="00173507"/>
    <w:pPr>
      <w:numPr>
        <w:ilvl w:val="1"/>
      </w:numPr>
    </w:pPr>
  </w:style>
  <w:style w:type="paragraph" w:customStyle="1" w:styleId="AdditionalTitle">
    <w:name w:val="Additional Title"/>
    <w:basedOn w:val="Paragraph"/>
    <w:qFormat/>
    <w:rsid w:val="00173507"/>
    <w:pPr>
      <w:jc w:val="left"/>
    </w:pPr>
    <w:rPr>
      <w:b/>
    </w:rPr>
  </w:style>
  <w:style w:type="character" w:customStyle="1" w:styleId="error">
    <w:name w:val="error"/>
    <w:basedOn w:val="DefaultParagraphFont"/>
    <w:rsid w:val="00173507"/>
    <w:rPr>
      <w:color w:val="000000"/>
    </w:rPr>
  </w:style>
  <w:style w:type="paragraph" w:customStyle="1" w:styleId="NoNumUntitledsubclause1">
    <w:name w:val="No Num Untitled subclause 1"/>
    <w:basedOn w:val="Untitledsubclause1"/>
    <w:qFormat/>
    <w:rsid w:val="00173507"/>
    <w:pPr>
      <w:numPr>
        <w:ilvl w:val="0"/>
        <w:numId w:val="0"/>
      </w:numPr>
      <w:ind w:left="720"/>
    </w:pPr>
  </w:style>
  <w:style w:type="paragraph" w:customStyle="1" w:styleId="BackgroundParaClause">
    <w:name w:val="Background Para Clause"/>
    <w:basedOn w:val="Background"/>
    <w:qFormat/>
    <w:rsid w:val="00173507"/>
    <w:pPr>
      <w:numPr>
        <w:numId w:val="0"/>
      </w:numPr>
    </w:pPr>
  </w:style>
  <w:style w:type="paragraph" w:customStyle="1" w:styleId="BackgroundParaSubclause1">
    <w:name w:val="Background Para Subclause1"/>
    <w:basedOn w:val="BackgroundSubclause1"/>
    <w:qFormat/>
    <w:rsid w:val="00173507"/>
    <w:pPr>
      <w:numPr>
        <w:ilvl w:val="0"/>
        <w:numId w:val="0"/>
      </w:numPr>
      <w:ind w:left="994"/>
    </w:pPr>
    <w:rPr>
      <w:lang w:val="en-US"/>
    </w:rPr>
  </w:style>
  <w:style w:type="paragraph" w:customStyle="1" w:styleId="BackgroundParaSubclause2">
    <w:name w:val="Background Para Subclause2"/>
    <w:basedOn w:val="BackgroundSubclause2"/>
    <w:qFormat/>
    <w:rsid w:val="00173507"/>
    <w:pPr>
      <w:numPr>
        <w:ilvl w:val="0"/>
        <w:numId w:val="0"/>
      </w:numPr>
      <w:ind w:left="1701"/>
    </w:pPr>
    <w:rPr>
      <w:lang w:val="en-US"/>
    </w:rPr>
  </w:style>
  <w:style w:type="paragraph" w:customStyle="1" w:styleId="ClauseBulletPara">
    <w:name w:val="Clause Bullet Para"/>
    <w:basedOn w:val="ClauseBullet1"/>
    <w:qFormat/>
    <w:rsid w:val="00173507"/>
    <w:pPr>
      <w:numPr>
        <w:numId w:val="0"/>
      </w:numPr>
      <w:ind w:left="1080"/>
    </w:pPr>
    <w:rPr>
      <w:lang w:val="en-US"/>
    </w:rPr>
  </w:style>
  <w:style w:type="paragraph" w:customStyle="1" w:styleId="ClauseBullet2Para">
    <w:name w:val="Clause Bullet 2 Para"/>
    <w:basedOn w:val="ClauseBullet2"/>
    <w:qFormat/>
    <w:rsid w:val="00173507"/>
    <w:pPr>
      <w:numPr>
        <w:numId w:val="0"/>
      </w:numPr>
      <w:ind w:left="1440"/>
    </w:pPr>
    <w:rPr>
      <w:lang w:val="en-US"/>
    </w:rPr>
  </w:style>
  <w:style w:type="paragraph" w:customStyle="1" w:styleId="ACTJurisdictionCheckList">
    <w:name w:val="ACTJurisdictionCheckList"/>
    <w:basedOn w:val="Normal"/>
    <w:rsid w:val="00173507"/>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73507"/>
  </w:style>
  <w:style w:type="paragraph" w:customStyle="1" w:styleId="ScheduleTitleClause">
    <w:name w:val="Schedule Title Clause"/>
    <w:basedOn w:val="Normal"/>
    <w:rsid w:val="00173507"/>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73507"/>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73507"/>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73507"/>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73507"/>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73507"/>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73507"/>
    <w:pPr>
      <w:shd w:val="clear" w:color="auto" w:fill="D9D9D9" w:themeFill="background1" w:themeFillShade="D9"/>
      <w:ind w:left="1077"/>
    </w:pPr>
  </w:style>
  <w:style w:type="paragraph" w:customStyle="1" w:styleId="ScheduleUntitledClause">
    <w:name w:val="Schedule Untitled Clause"/>
    <w:basedOn w:val="ScheduleTitleClause"/>
    <w:qFormat/>
    <w:rsid w:val="00173507"/>
    <w:pPr>
      <w:spacing w:before="120"/>
    </w:pPr>
    <w:rPr>
      <w:b w:val="0"/>
    </w:rPr>
  </w:style>
  <w:style w:type="paragraph" w:customStyle="1" w:styleId="EmptyClausePara">
    <w:name w:val="Empty Clause Para"/>
    <w:basedOn w:val="IgnoredSpacing"/>
    <w:qFormat/>
    <w:rsid w:val="00173507"/>
  </w:style>
  <w:style w:type="paragraph" w:styleId="ListParagraph">
    <w:name w:val="List Paragraph"/>
    <w:basedOn w:val="Normal"/>
    <w:uiPriority w:val="34"/>
    <w:qFormat/>
    <w:rsid w:val="00173507"/>
    <w:pPr>
      <w:ind w:left="720"/>
      <w:contextualSpacing/>
    </w:pPr>
    <w:rPr>
      <w:color w:val="000000"/>
    </w:rPr>
  </w:style>
  <w:style w:type="paragraph" w:customStyle="1" w:styleId="ScheduleTitlesubclause1">
    <w:name w:val="Schedule Title subclause1"/>
    <w:basedOn w:val="ScheduleUntitledsubclause1"/>
    <w:qFormat/>
    <w:rsid w:val="00173507"/>
    <w:pPr>
      <w:spacing w:before="120"/>
    </w:pPr>
    <w:rPr>
      <w:b/>
    </w:rPr>
  </w:style>
  <w:style w:type="paragraph" w:customStyle="1" w:styleId="835FF0B0D5344FE4A8EE41F54AA7E17C16">
    <w:name w:val="835FF0B0D5344FE4A8EE41F54AA7E17C16"/>
    <w:rsid w:val="00FE17A0"/>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684C4E"/>
    <w:rPr>
      <w:color w:val="000000"/>
      <w:shd w:val="clear" w:color="auto" w:fill="E6E6E6"/>
    </w:rPr>
  </w:style>
  <w:style w:type="paragraph" w:customStyle="1" w:styleId="SectorSpecificNoteTitle">
    <w:name w:val="Sector Specific Note Title"/>
    <w:basedOn w:val="JurisdictionDraftingnoteTitle"/>
    <w:qFormat/>
    <w:rsid w:val="00173507"/>
  </w:style>
  <w:style w:type="table" w:customStyle="1" w:styleId="ShadedTable1">
    <w:name w:val="Shaded Table1"/>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73507"/>
    <w:rPr>
      <w:color w:val="000000"/>
    </w:rPr>
  </w:style>
  <w:style w:type="character" w:customStyle="1" w:styleId="UnresolvedMention2">
    <w:name w:val="Unresolved Mention2"/>
    <w:basedOn w:val="DefaultParagraphFont"/>
    <w:uiPriority w:val="99"/>
    <w:semiHidden/>
    <w:unhideWhenUsed/>
    <w:rsid w:val="00536B1B"/>
    <w:rPr>
      <w:color w:val="000000"/>
      <w:shd w:val="clear" w:color="auto" w:fill="E1DFDD"/>
    </w:rPr>
  </w:style>
  <w:style w:type="character" w:styleId="CommentReference">
    <w:name w:val="annotation reference"/>
    <w:basedOn w:val="DefaultParagraphFont"/>
    <w:uiPriority w:val="99"/>
    <w:semiHidden/>
    <w:unhideWhenUsed/>
    <w:rsid w:val="00641EFE"/>
    <w:rPr>
      <w:color w:val="000000"/>
      <w:sz w:val="16"/>
      <w:szCs w:val="16"/>
    </w:rPr>
  </w:style>
  <w:style w:type="paragraph" w:styleId="CommentText">
    <w:name w:val="annotation text"/>
    <w:basedOn w:val="Normal"/>
    <w:link w:val="CommentTextChar"/>
    <w:uiPriority w:val="99"/>
    <w:unhideWhenUsed/>
    <w:rsid w:val="00641EFE"/>
    <w:pPr>
      <w:spacing w:line="240" w:lineRule="auto"/>
    </w:pPr>
    <w:rPr>
      <w:color w:val="000000"/>
      <w:sz w:val="20"/>
      <w:szCs w:val="20"/>
    </w:rPr>
  </w:style>
  <w:style w:type="character" w:customStyle="1" w:styleId="CommentTextChar">
    <w:name w:val="Comment Text Char"/>
    <w:basedOn w:val="DefaultParagraphFont"/>
    <w:link w:val="CommentText"/>
    <w:uiPriority w:val="99"/>
    <w:rsid w:val="00641EFE"/>
    <w:rPr>
      <w:color w:val="000000"/>
      <w:sz w:val="20"/>
      <w:szCs w:val="20"/>
    </w:rPr>
  </w:style>
  <w:style w:type="paragraph" w:styleId="CommentSubject">
    <w:name w:val="annotation subject"/>
    <w:basedOn w:val="CommentText"/>
    <w:next w:val="CommentText"/>
    <w:link w:val="CommentSubjectChar"/>
    <w:uiPriority w:val="99"/>
    <w:semiHidden/>
    <w:unhideWhenUsed/>
    <w:rsid w:val="00641EFE"/>
    <w:rPr>
      <w:b/>
      <w:bCs/>
    </w:rPr>
  </w:style>
  <w:style w:type="character" w:customStyle="1" w:styleId="CommentSubjectChar">
    <w:name w:val="Comment Subject Char"/>
    <w:basedOn w:val="CommentTextChar"/>
    <w:link w:val="CommentSubject"/>
    <w:uiPriority w:val="99"/>
    <w:semiHidden/>
    <w:rsid w:val="00641EFE"/>
    <w:rPr>
      <w:b/>
      <w:bCs/>
      <w:color w:val="000000"/>
      <w:sz w:val="20"/>
      <w:szCs w:val="20"/>
    </w:rPr>
  </w:style>
  <w:style w:type="character" w:customStyle="1" w:styleId="IgnoredEmptysubclauseChar">
    <w:name w:val="Ignored Empty subclause Char"/>
    <w:basedOn w:val="DefaultParagraphFont"/>
    <w:link w:val="IgnoredEmptysubclause"/>
    <w:rsid w:val="00173507"/>
    <w:rPr>
      <w:color w:val="000000"/>
    </w:rPr>
  </w:style>
  <w:style w:type="paragraph" w:customStyle="1" w:styleId="6B1115FCC3DC4C6AB2CF846F0C50B663">
    <w:name w:val="6B1115FCC3DC4C6AB2CF846F0C50B663"/>
    <w:rsid w:val="00C17168"/>
    <w:pPr>
      <w:spacing w:line="276" w:lineRule="auto"/>
    </w:pPr>
    <w:rPr>
      <w:color w:val="000000"/>
    </w:rPr>
  </w:style>
  <w:style w:type="paragraph" w:styleId="Revision">
    <w:name w:val="Revision"/>
    <w:hidden/>
    <w:uiPriority w:val="99"/>
    <w:semiHidden/>
    <w:rsid w:val="008E0C8C"/>
    <w:pPr>
      <w:spacing w:after="0" w:line="240" w:lineRule="auto"/>
    </w:pPr>
    <w:rPr>
      <w:color w:val="000000"/>
    </w:rPr>
  </w:style>
  <w:style w:type="numbering" w:customStyle="1" w:styleId="ScheduleListStyle">
    <w:name w:val="ScheduleListStyle"/>
    <w:pPr>
      <w:numPr>
        <w:numId w:val="24"/>
      </w:numPr>
    </w:pPr>
  </w:style>
  <w:style w:type="numbering" w:customStyle="1" w:styleId="PartListStyle">
    <w:name w:val="PartListStyle"/>
    <w:pPr>
      <w:numPr>
        <w:numId w:val="26"/>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73598">
      <w:bodyDiv w:val="1"/>
      <w:marLeft w:val="0"/>
      <w:marRight w:val="0"/>
      <w:marTop w:val="0"/>
      <w:marBottom w:val="0"/>
      <w:divBdr>
        <w:top w:val="none" w:sz="0" w:space="0" w:color="auto"/>
        <w:left w:val="none" w:sz="0" w:space="0" w:color="auto"/>
        <w:bottom w:val="none" w:sz="0" w:space="0" w:color="auto"/>
        <w:right w:val="none" w:sz="0" w:space="0" w:color="auto"/>
      </w:divBdr>
    </w:div>
    <w:div w:id="6097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document xmlns:xsd="http://www.w3.org/2001/XMLSchema" xmlns:xsi="http://www.w3.org/2001/XMLSchema-instance" guid="0" synced="true" validated="true">
  <n-docbody>
    <standard.doc precedenttype="contract">
      <prelim>
        <product.name>product.name0</product.name>
        <title>Contract for the sale of freehold agricultural land with vacant possession (incorporating the Standard Commercial Property Conditions (Third Edition – 2018 Revision)) (England)</title>
        <author>
          <link href="http://uk.practicallaw.com/about/our-team/uk-agriculture-rural-land" style="ACTLinkURL">
            <ital>Practical Law Agriculture &amp; Rural Land</ital>
          </link>
        </author>
        <resource.type>Standard documents</resource.type>
        <juris>juris0</juris>
        <juris>juris1</juris>
      </prelim>
      <abstract>
        <para>
          <paratext>A contract for the sale of freehold agricultural land with vacant possession, incorporating the Standard Commercial Property Conditions (Third Edition – 2018 Revision) (England).</paratext>
        </para>
        <para>
          <paratext>
            See 
            <link href="http://uk.practicallaw.com/resources/clauses/uk-property" style="ACTLinkURL">
              <ital>Standard clauses and drafting notes</ital>
            </link>
             for clauses that can be used to adapt this document.
          </paratext>
        </para>
        <para>
          <paratext>
            Note: The Basic Payment Scheme ended in England and is replaced by delinked payments from 1 January 2024, which reduce and are phased out at the end of 2027. Farmers can receive funding via a new system of environmental land management. For more information on delinking, see 
            <link href="w-041-4970" style="ACTLinkPLCtoPLC">
              <ital>Practice note, Delinked payments.</ital>
            </link>
            .
          </paratext>
        </para>
        <para>
          <paratext>
            For more information about agricultural policy post-Brexit see 
            <link href="w-023-8664" style="ACTLinkPLCtoPLC">
              <ital>Practice note, Post Brexit: timeline for UK agricultural policy</ital>
            </link>
            .
          </paratext>
        </para>
      </abstract>
      <toc.identifier hasToc="true"/>
      <body>
        <drafting.note id="a999499" jurisdiction="">
          <head align="left" preservecase="true">
            <headtext>About this document</headtext>
          </head>
          <division id="a000019" level="1">
            <para>
              <paratext>
                This document is for use on a sale and purchase of freehold agricultural property that is to be sold with vacant possession in England. It has been drafted for a sale of the 
                <bold>whole</bold>
                 of a property and is suitable for use whether the title to the property is registered or unregistered.
              </paratext>
            </para>
            <para>
              <paratext>
                <bold>Please note that if you use this document for a sale of part, you will need to make appropriate amendments to it </bold>
                 (see 
                <internal.reference refid="a135525">Drafting note, If the contract is for the sale of part</internal.reference>
                ).
              </paratext>
            </para>
            <para>
              <paratext>
                Practitioners must consider the issues of delinking payments or payments under Environmental Land Management schemes for the current year. For further information see Practice note, 
                <link href="w-027-8456" style="ACTLinkPLCtoPLC">
                  <ital>Practice note, Environmental Land Management (ELM) and other rural support in England</ital>
                </link>
                ,which looks at the issue of the ELM in England.
              </paratext>
            </para>
            <para>
              <paratext>
                <bold>You will have to amend this document if:</bold>
              </paratext>
            </para>
            <list type="bulleted">
              <list.item>
                <para>
                  <paratext>The sale is by a liquidator, administrator, mortgagee or receiver.</paratext>
                </para>
              </list.item>
              <list.item>
                <para>
                  <paratext>The property is leasehold or subject to agricultural or other tenancies.</paratext>
                </para>
              </list.item>
            </list>
            <para>
              <paratext>
                For other forms of sale contract, see 
                <link href="http://uk.practicallaw.com/resources/documents/uk-property" style="ACTLinkURL">
                  <ital>Standard documents and drafting notes: Contracts for sale of commercial property</ital>
                </link>
                . Please note we have not included in this contract the following provisions that are commonly used in the commercial contracts, which parties may decide to add if appropriate in the circumstances:
              </paratext>
            </para>
            <list type="bulleted">
              <list.item>
                <para>
                  <paratext>Registration of Transfer- A clause that seeks to minimise the Registration gap.</paratext>
                </para>
              </list.item>
              <list.item>
                <para>
                  <paratext>Missing Documents. A clause that provides that if the seller does not have certain documents in its possession, the buyer cannot object or raise any question in relation to those missing documents.</paratext>
                </para>
              </list.item>
              <list.item>
                <para>
                  <paratext>
                    Completion of undertaking. The undertaking seeks to limit the seller's conveyancer's liability for transferring purchase monies to the incorrect party. For more information, see Practice note, 
                    <link anchor="a784734" href="w-024-3072" style="ACTLinkPLCtoPLC">
                      <ital>Practice note, Dreamvar: implications for conveyancing practice: Contractual obligation on the seller</ital>
                    </link>
                    .
                  </paratext>
                </para>
              </list.item>
            </list>
            <para>
              <paratext>
                For drafting see, 
                <link href="w-008-4165" style="ACTLinkPLCtoPLC">
                  <ital>Standard document, Contract for the sale of freehold land with vacant possession (incorporating the Standard Commercial Property Conditions (Third Edition – 2018 Revision))</ital>
                </link>
                .
              </paratext>
            </para>
            <para>
              <paratext>
                <bold>Drafting Assumptions</bold>
              </paratext>
            </para>
            <para>
              <paratext>The document is drafted:</paratext>
            </para>
            <list type="bulleted">
              <list.item>
                <para>
                  <paratext>From the point of view of the Seller but with the intention that it provides a reasonable balance between the parties.</paratext>
                </para>
              </list.item>
              <list.item>
                <para>
                  <paratext>
                    To incorporate the Standard Commercial Property Conditions (Third Edition – 2018 Revision) (SCPC) (see 
                    <link href="2-107-3787" style="ACTLinkPLCtoPLC">
                      <ital>Practice note, The Standard Commercial Property Conditions</ital>
                    </link>
                    ).
                  </paratext>
                </para>
              </list.item>
              <list.item>
                <para>
                  <paratext>On the following assumptions:</paratext>
                </para>
                <list type="bulleted">
                  <list.item>
                    <para>
                      <paratext>
                        The Property is located in England. While many of the provisions in a contract for the sale and purchase of freehold agricultural property will be the same in England and Wales, as agriculture is a devolved matter and since the Agriculture (Wales) Act 2023 (AWA 2023) received Royal Assent on 17 August 2023, farming support systems differ. For more information on the AWA 2023, see 
                        <link href="w-037-2555" style="ACTLinkPLCtoPLC">
                          <ital>Practice note, Agriculture (Wales) Act 2023</ital>
                        </link>
                        <link href="w-036-4526" style="ACTLinkPLCtoPLC">
                          <ital>and Practice note, Transition to Sustainable Farming Scheme (Wales)</ital>
                        </link>
                        .
                      </paratext>
                    </para>
                  </list.item>
                  <list.item>
                    <para>
                      <paratext>
                        Any purchasing company is located in England or Wales or an individual resident and domiciled in England and Wales. If this assumption is not correct, consider whether the Economic Crime (Transparency and Enforcement) Act 2022 is relevant (see 
                        <link href="w-035-0180" style="ACTLinkPLCtoPLC">
                          <ital>Practice note, Economic Crime (Transparency and Enforcement) Act 2022</ital>
                        </link>
                        : property implications).
                      </paratext>
                    </para>
                  </list.item>
                  <list.item>
                    <para>
                      <paratext>The Property is a single property, however the document can be adapted for use where more than one property is being sold.</paratext>
                    </para>
                  </list.item>
                  <list.item>
                    <para>
                      <paratext>The Property is sold with vacant possession, although the document can be adapted for use where the Property is being sold subject to tenancies. The parties should adapt the contract to make the sale subject to the tenancies and the obligations contained in the tenancy documents.</paratext>
                    </para>
                  </list.item>
                  <list.item>
                    <para>
                      <paratext>There are no contract farming agreements or similar arrangements that the parties need to deal with in the contract.</paratext>
                    </para>
                  </list.item>
                  <list.item>
                    <para>
                      <paratext>The Property is not subject to any conservation covenant or biodiversity net gain agreements, where the seller may want to be released from any continuing obligations under the terms on the sale of the Property.</paratext>
                    </para>
                  </list.item>
                  <list.item>
                    <para>
                      <paratext>
                        The whole of the Property is being sold, although the document can be adapted if the sale is to be of part only (see 
                        <internal.reference refid="a135525">Drafting note, If the contract is for the sale of part</internal.reference>
                        ).
                      </paratext>
                    </para>
                  </list.item>
                  <list.item>
                    <para>
                      <paratext>Sporting rights arising from ownership of the Property are included in the sale, the Seller has not granted them to anyone else and the Buyer does not require the assurance of any express provision to that effect. If the Seller has the benefit of any other sporting rights, such as rights over neighbouring land, the parties should add drafting to deal with their transfer to the Buyer.</paratext>
                    </para>
                  </list.item>
                  <list.item>
                    <para>
                      <paratext>Mineral rights are included in the sale and the Buyer does not require the assurance of any express provision to that effect, provided that the Seller has not exploited those rights.</paratext>
                    </para>
                  </list.item>
                  <list.item>
                    <para>
                      <paratext>
                        The 
                        <link href="2-505-5915" style="ACTLinkPLCtoPLC">
                          <ital>Transfer of Undertakings (Protection of Employment) Regulations 2006 (SI 2006/246)</ital>
                        </link>
                         (TUPE) will not apply and no farm employees will transfer on completion.
                      </paratext>
                    </para>
                  </list.item>
                  <list.item>
                    <para>
                      <paratext>
                        Any water abstraction licence is transferred on completion without apportionment (see 
                        <internal.reference refid="a430184">Drafting note, Water Abstraction Licence (optional clause)</internal.reference>
                        ).
                      </paratext>
                    </para>
                  </list.item>
                  <list.item>
                    <para>
                      <paratext>There are no renewable energy installations on the Property.</paratext>
                    </para>
                  </list.item>
                  <list.item>
                    <para>
                      <paratext>
                        The contract contains no optional wording to take account of the decision in 
                        <link href="https://uk.practicallaw.thomsonreuters.com/D-102-3200?originationContext=document&amp;amp;transitionType=PLDocumentLink&amp;amp;contextData=(sc.Default)" style="ACTLinkURL">
                          <ital>P&amp;P Property Ltd v Owen White &amp; Catlin LLP and another and Dreamvar (UK) Ltd v Mishcon de Reya and another [2018] EWCA Civ 1082</ital>
                        </link>
                        . For more information, see 
                        <link anchor="co_anchor_a86064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definition)</ital>
                        </link>
                         and 
                        <link anchor="co_anchor_a29028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clause)</ital>
                        </link>
                        ).Such a clause will not be appropriate in every situation and is less likely to be appropriate in an agricultural sale as the parties are usually know to their solicitors. For more information, see 
                        <link anchor="co_anchor_a784734" href="https://uk.practicallaw.thomsonreuters.com/w-024-3072?originationContext=document&amp;amp;transitionType=DocumentItem&amp;amp;contextData=(sc.Default)" style="ACTLinkURL">
                          <ital>Practice note, Dreamvar: implications for conveyancing practice: Contractual obligation on the seller</ital>
                        </link>
                        . The document can be adapted to add a pre-completion condition. If the contract is conditional, see 
                        <link href="https://uk.practicallaw.thomsonreuters.com/8-200-0344?originationContext=document&amp;amp;transitionType=DocumentItem&amp;amp;contextData=(sc.Default)" style="ACTLinkURL">
                          <ital>Standard document, Contract for the sale of freehold land with vacant possession conditional on planning permission</ital>
                        </link>
                        .
                      </paratext>
                    </para>
                  </list.item>
                  <list.item>
                    <para>
                      <paratext>
                        This is a sale of land, and any existing agricultural business will not be sold with the land. For information on transfer of a going concern (TOGC) see 
                        <link href="2-107-4895" style="ACTLinkPLCtoPLC">
                          <ital>Practice note, VAT and property: transferring a business as a going concern</ital>
                        </link>
                        .
                      </paratext>
                    </para>
                  </list.item>
                </list>
              </list.item>
            </list>
            <division id="a653858" level="2">
              <head align="left" preservecase="true">
                <headtext>Checklist of matters to consider when selling agricultural land</headtext>
              </head>
              <para>
                <paratext>The sale of agricultural land requires special considerations, including the following:</paratext>
              </para>
              <list type="bulleted">
                <list.item>
                  <para>
                    <paratext>What items of livestock, machinery or plant are included in the sale?</paratext>
                  </para>
                </list.item>
                <list.item>
                  <para>
                    <paratext>Are sporting rights included in the sale? If not, the contract will need to reserve the rights to the seller.</paratext>
                  </para>
                </list.item>
                <list.item>
                  <para>
                    <paratext>Will the sale include growing crops at the time of completion? Growing crops are crops that are growing in the soil rather than crops that have been harvested. If growing crops are not included in the sale, will the Seller require a right of holdover (such as rights to retain and harvest crops and to store harvested crops on parts of the Property for a period of time)?</paratext>
                  </para>
                </list.item>
                <list.item>
                  <para>
                    <paratext>Does the Buyer require early access rights (rights to enter the land between exchange of contracts and completion, and to carry out works such as cultivations for the following harvest)?</paratext>
                  </para>
                </list.item>
                <list.item>
                  <para>
                    <paratext>Consider all operations the seller may need to use a holdover provision in contract.</paratext>
                  </para>
                </list.item>
                <list.item>
                  <para>
                    <paratext>How is water supplied to the Property? Is this via mains water or a private water supply, and are any easements required?</paratext>
                  </para>
                </list.item>
                <list.item>
                  <para>
                    <paratext>Are there any wayleave agreements which affect the Property, such as for pylons or pipelines, that may have to be assigned on completion? How are the parties dealing with apportionment of sums received under any such agreements?</paratext>
                  </para>
                </list.item>
                <list.item>
                  <para>
                    <paratext>
                      Does the Seller (or any current tenants) have a fixed or floating charge on any of the assets included in the sale? When buying farming stock or assets, the Buyer should make an agricultural credit search. For information on agricultural charges, see 
                      <link href="2-523-3338" style="ACTLinkPLCtoPLC">
                        <ital>Practice note, Agricultural charges under the Agricultural Credits Act 1928</ital>
                      </link>
                      .
                    </paratext>
                  </para>
                </list.item>
                <list.item>
                  <para>
                    <paratext>
                      Are there any environmental concerns that may require an indemnity because of the agricultural processes that are carried out on the land or as a result of any environmental surveys? For example, is there any contamination from any slurry storage areas to water sources or is there a farm tip where waste may not have been dealt with in accordance with legislation? Is there a septic tank? For further information, see 
                      <link href="5-516-6610" style="ACTLinkPLCtoPLC">
                        <ital>Practice note, Regulation of small sewage discharges from domestic septic tanks</ital>
                      </link>
                      . For more information, see 
                      <link href="0-508-4650" style="ACTLinkPLCtoPLC">
                        <ital>Practice note, Contaminated land regime</ital>
                      </link>
                      : exclusion of liability and, for provisions that can be adapted, see 
                      <link href="0-505-8665" style="ACTLinkPLCtoPLC">
                        <ital>Standard clause, Clauses to allocate environmental liability on sale of land</ital>
                      </link>
                      .
                    </paratext>
                  </para>
                </list.item>
                <list.item>
                  <para>
                    <paratext>
                      Does any agricultural tenant have the right, under either the Agricultural Holdings Act 1986 (AHA 1986) or the 
                      <link href="9-508-2835" style="ACTLinkPLCtoPLC">
                        <ital>Agricultural Tenancies Act 1995</ital>
                      </link>
                       (ATA 1995), to remove any fixtures on the Property or make a claim for compensation for any them? Under 
                      <link href="6-518-9343" style="ACTLinkPLCtoPLC">
                        <ital>section 8(1)</ital>
                      </link>
                       of the ATA 1995, fixtures can be removed at any time during the tenancy or at any time after the termination of the tenancy, while the tenant remains in occupation. By comparison, under the AHA 1986, the tenant is given a period of two months after the termination of the tenancy to remove fixtures.
                    </paratext>
                  </para>
                </list.item>
                <list.item>
                  <para>
                    <paratext>
                      Is the Property or any of the farming assets owned by a farming partnership? 
                      <link href="6-518-1894" style="ACTLinkPLCtoPLC">
                        <ital>Section 21</ital>
                      </link>
                       of the 
                      <link href="4-505-5085" style="ACTLinkPLCtoPLC">
                        <ital>Partnership Act 1890</ital>
                      </link>
                       provides that if property is bought with partnership money it will be partnership property.
                    </paratext>
                  </para>
                </list.item>
                <list.item>
                  <para>
                    <paratext>
                      Although this document is drafted on the assumption that the Property is freehold and not subject to any lease, if the Buyer is also the current agricultural tenant of the Property, the contract will need to address both the tenant's claim for compensation for improvements and the Seller's claim for dilapidations. The parties may want a provision in the contract to state that their respective claims are extinguished. If adding such a provision, also check for any inconsistencies and consequential amendments required, such as to 
                      <internal.reference refid="a256933">clause 17.5</internal.reference>
                      .
                    </paratext>
                  </para>
                </list.item>
                <list.item>
                  <para>
                    <paratext>Sales of agricultural property traditionally (but not necessarily) complete on 29 September or 11 October regardless of the date of exchange. If there is going to be a long period between exchange and completion, will the Buyer want some control over the management of the land between exchange and completion? The contract should be protected (by a notice if the title is registered or a class C(iv) land charge if the title is unregistered).</paratext>
                  </para>
                </list.item>
                <list.item>
                  <para>
                    <paratext>
                      Is confidentiality an issue and does the sale contract contain confidential information, which the seller may not want disclosed? Particularly if acting for a landed estate consider whether the optional confidentiality clause is required (see 
                      <internal.reference refid="a429621">clause 34</internal.reference>
                      ).
                    </paratext>
                  </para>
                </list.item>
                <list.item>
                  <para>
                    <paratext>
                      Is the sale of the Property a transaction where TUPE will apply? TUPE protects the rights of employees on a "relevant transfer" and imposes obligations on employers to inform and, in some cases, consult with representatives of affected employees. For information on whether TUPE is relevant, see 
                      <link href="6-502-7628" style="ACTLinkPLCtoPLC">
                        <ital>Practice note, TUPE (9): application to property transactions</ital>
                      </link>
                      . If there is any doubt whether TUPE applies, then the Buyer may want a warranty from the Seller that no employees will transfer to the Buyer and an indemnity against all claims or demands from any employees previously employed on the Property.
                    </paratext>
                  </para>
                </list.item>
                <list.item>
                  <para>
                    <paratext>Has the Seller opted to tax the Property so that the sale of the property will be subject to VAT (Schedule 10, Value Added Tax Act 1994 (VATA 1994)) or has the Seller not made an option to tax so that the sale of the Property is exempt from VAT as a sale of freehold land (item 1, Group 1, Schedule 9, VATA 1994)?</paratext>
                  </para>
                </list.item>
                <list.item>
                  <para>
                    <paratext>If any of the following are applicable to the Property, they will require special consideration and copies of any relevant contracts or agreements may need to be annexed to the contract:</paratext>
                  </para>
                  <list type="bulleted">
                    <list.item>
                      <para>
                        <paratext>
                          Agri-environment schemes (see 
                          <internal.reference refid="a142268">Drafting note, Agri-environment Agreements (optional clause)</internal.reference>
                          ).
                        </paratext>
                      </para>
                    </list.item>
                    <list.item>
                      <para>
                        <paratext>Capital grants.</paratext>
                      </para>
                    </list.item>
                    <list.item>
                      <para>
                        <paratext>
                          Woodland grant schemes (see 
                          <internal.reference refid="a388064">Drafting note, Woodland Grant Agreements (optional clause)</internal.reference>
                          ).
                        </paratext>
                      </para>
                    </list.item>
                    <list.item>
                      <para>
                        <paratext>Sugar beet contract. A current grower of sugar beet will have a contract with British Sugar to grow a specified tonnage of quota for an agreed price per tonne. To transfer the contract to another party on the sale of land, the current grower has to complete a transfer form which is signed by the both the current grower and the new grower.</paratext>
                      </para>
                    </list.item>
                    <list.item>
                      <para>
                        <paratext>
                          As from 1st January 2024 the Basic Payment Scheme (BPS) ended and farm payments became delinked from the land. For more information see  
                          <link href="w-041-4970" style="ACTLinkPLCtoPLC">
                            <ital>Practice note Delinked payments. </ital>
                          </link>
                           This agreement is drafted on the basis that the delinked payments are retained by the seller.
                        </paratext>
                      </para>
                    </list.item>
                    <list.item>
                      <para>
                        <paratext>Additional clauses may be necessary to deal with the specific circumstances of the transaction.</paratext>
                      </para>
                    </list.item>
                  </list>
                </list.item>
              </list>
            </division>
            <division id="a135525" level="2">
              <head align="left" preservecase="true">
                <headtext>If the contract is for the sale of part</headtext>
              </head>
              <para>
                <paratext>It is important that the parties and their legal advisers give careful thought to the amendments required if the contract is for the sale of part only of a property. The points that should be considered include the following:</paratext>
              </para>
              <list type="bulleted">
                <list.item>
                  <para>
                    <paratext>The definition of the "Property": and a definition of the word " Retained Land".</paratext>
                  </para>
                </list.item>
                <list.item>
                  <para>
                    <paratext>
                      The exact location of the Property being sold and its boundaries shown on the plan, which should conform to Land Registry requirements (see 
                      <link href="1-201-2562" style="ACTLinkPLCtoPLC">
                        <ital>Checklist, Land registration: submitting plans</ital>
                      </link>
                      ).
                    </paratext>
                  </para>
                </list.item>
                <list.item>
                  <para>
                    <paratext>Issues regarding ownership and maintenance of boundaries.</paratext>
                  </para>
                </list.item>
                <list.item>
                  <para>
                    <paratext>
                      Apportionment of water abstraction licences (for the amendments required to 
                      <internal.reference refid="a379051">clause 25</internal.reference>
                      , see 
                      <internal.reference refid="a430184">Drafting note, Water Abstraction Licence (optional clause)</internal.reference>
                      ).
                    </paratext>
                  </para>
                </list.item>
                <list.item>
                  <para>
                    <paratext>Whether the Buyer will benefit from any existing rights in common with the Seller.</paratext>
                  </para>
                </list.item>
                <list.item>
                  <para>
                    <paratext>Whether new rights need to be reserved for the benefit of the retained land.</paratext>
                  </para>
                </list.item>
                <list.item>
                  <para>
                    <paratext>
                      Whether new covenants need to be imposed on either the seller's retained land or the land to be transferred. If any of the covenants to be imposed are positive in nature, the parties will need to put in place a mechanism to ensure that they will bind the relevant party's successors. For more information, 
                      <link href="1-506-8268" style="ACTLinkPLCtoPLC">
                        <ital>see Practice note, Positive covenants in transfers: what to consider</ital>
                      </link>
                      .
                    </paratext>
                  </para>
                </list.item>
                <list.item>
                  <para>
                    <paratext>Whether new rights need to be reserved over the land to be transferred for the benefit of the seller's retained land.</paratext>
                  </para>
                </list.item>
                <list.item>
                  <para>
                    <paratext>Whether new rights need to be granted over the seller's retained land for the benefit of the land to be transferred.</paratext>
                  </para>
                </list.item>
                <list.item>
                  <para>
                    <paratext>Whether the land being transferred is capable of benefiting from any existing easements or other appurtenant rights which currently benefit the land as a whole and whether the transfer needs to include any wording to prevent the benefit of those rights passing to the buyer.</paratext>
                  </para>
                </list.item>
                <list.item>
                  <para>
                    <paratext>Whether the seller’s retained land is capable of benefiting from any existing easements or other appurtenant rights which currently benefit the land as a whole.</paratext>
                  </para>
                </list.item>
                <list.item>
                  <para>
                    <paratext>In relation to existing easements and other appurtenant rights, whether the burden on the servient land is increased as a result of the severance of the dominant land.</paratext>
                  </para>
                </list.item>
                <list.item>
                  <para>
                    <paratext>
                      If the Property is subject to any tenancies, the effect of severing the reversion. Severing the reversion will not sever the tenancy, which has ongoing implications for rent apportionment and serving rent review notices. For information on termination where the tenancy is under the 
                      <link href="4-508-2673" style="ACTLinkPLCtoPLC">
                        <ital>Agricultural Holdings Act 1986</ital>
                      </link>
                       (AHA 1986), see 
                      <link href="1-624-0296" style="ACTLinkPLCtoPLC">
                        <ital>Practice note, Termination of a tenancy of an agricultural holding by notice to quit</ital>
                      </link>
                      .
                    </paratext>
                  </para>
                </list.item>
                <list.item>
                  <para>
                    <paratext>Whether any other agreements or declarations are required, for example, in relation to rights of light or implied easements.</paratext>
                  </para>
                </list.item>
                <list.item>
                  <para>
                    <paratext>Is there a private water supply where the Seller should impose a contractual right to charge for the cost of the water supply? Are there any other risks that may require consideration, such as the protection of reservoirs from any pollution?</paratext>
                  </para>
                </list.item>
                <list.item>
                  <para>
                    <paratext>The Standard Commercial Property Conditions (SCPC) (Third Edition - 2018 Revision) no longer contain a general condition setting out the bare minimum easements to be granted or reserved on a sale of part. Instead, parties must choose to prescribe what the transfer should contain (via inclusion of special condition 8)</paratext>
                  </para>
                </list.item>
              </list>
              <para>
                <paratext>
                  For further information, see 
                  <link href="w-029-3718" style="ACTLinkPLCtoPLC">
                    <ital>Buying freehold property: issues to consider: physical inspection, survey and valuation: checklist</ital>
                  </link>
                  .
                </paratext>
              </para>
            </division>
            <division id="a966837" level="2">
              <head align="left" preservecase="true">
                <headtext>Creating a valid contract</headtext>
              </head>
              <para>
                <paratext>A contract is formed when four basic elements of a contract are in place. These are:</paratext>
              </para>
              <list type="bulleted">
                <list.item>
                  <para>
                    <paratext>Offer.</paratext>
                  </para>
                </list.item>
                <list.item>
                  <para>
                    <paratext>Acceptance.</paratext>
                  </para>
                </list.item>
                <list.item>
                  <para>
                    <paratext>Consideration.</paratext>
                  </para>
                </list.item>
                <list.item>
                  <para>
                    <paratext>Intention to create legal relations.</paratext>
                  </para>
                </list.item>
              </list>
              <para>
                <paratext>The terms of the contract should also be certain. If the terms are vague or ambiguous there is a risk that the agreement will not be enforceable.</paratext>
              </para>
              <para>
                <paratext>
                  In addition, contracts for the sale or other disposition of an interest in land must satisfy 
                  <link href="3-508-0405" style="ACTLinkPLCtoPLC">
                    <ital>section 2</ital>
                  </link>
                   of the Law of Property (Miscellaneous Provisions) Act 1989. To comply with section 2, a contract must:
                </paratext>
              </para>
              <list type="bulleted">
                <list.item>
                  <para>
                    <paratext>Be in writing.</paratext>
                  </para>
                </list.item>
                <list.item>
                  <para>
                    <paratext>Incorporate all the terms that the parties have expressly agreed in one document or, where contracts are to be exchanged, in each document.</paratext>
                  </para>
                </list.item>
                <list.item>
                  <para>
                    <paratext>Be signed by or on behalf of each party.</paratext>
                  </para>
                </list.item>
              </list>
              <para>
                <paratext>
                  For more information, see 
                  <link href="3-107-3777" style="ACTLinkPLCtoPLC">
                    <ital>Practice note, Contracts: The requirement for written land contracts and section 2 of the LP(MP)A 1989</ital>
                  </link>
                   and 
                  <internal.reference refid="a445336">Drafting note, Signing the contract</internal.reference>
                  .
                </paratext>
              </para>
            </division>
          </division>
        </drafting.note>
        <cover.sheet>
          <head align="left" preservecase="true">
            <headtext>Contract for the sale of freehold land with vacant possession</headtext>
          </head>
          <subject.intro>at</subject.intro>
          <subject.text>[address of property]</subject.text>
          <party.name>[Seller]</party.name>
          <AdditionalPartyType>
            <static.and>and</static.and>
            <party.name>[Buyer]</party.name>
          </AdditionalPartyType>
        </cover.sheet>
        <intro default="true">
          <intro.date>This contract is dated [DATE]</intro.date>
        </intro>
        <parties>
          <head align="left" preservecase="true">
            <headtext>PARTIES</headtext>
          </head>
          <drafting.note id="a154435" jurisdiction="">
            <head align="left" preservecase="true">
              <headtext>Parties</headtext>
            </head>
            <division id="a000020" level="1">
              <para>
                <paratext>
                  It is important that the identities of the parties can be verified for land registration purposes (see 
                  <internal.reference refid="a246522">Drafting note, Confirmation of identity</internal.reference>
                  ).
                </paratext>
              </para>
              <division id="a462311" level="2">
                <head align="left" preservecase="true">
                  <headtext>Non-owning occupier (optional party)</headtext>
                </head>
                <para>
                  <paratext>
                    Any adults in occupation of the Property other than the Seller should sign the contract to confirm their agreement to the sale and to release any rights they might have in the Property or any fixtures and contents included in the sale (see 
                    <internal.reference refid="a865575">clause 24</internal.reference>
                    ). Such rights may include:
                  </paratext>
                </para>
                <list type="bulleted">
                  <list.item>
                    <para>
                      <paratext>
                        Home rights under the 
                        <link href="8-508-3784" style="ACTLinkPLCtoPLC">
                          <ital>Family Law Act 1996</ital>
                        </link>
                        . For more information, see 
                        <link href="7-106-6727" style="ACTLinkPLCtoPLC">
                          <ital>LR Practice Guide 20 - Applications under the Family Law Act 1996</ital>
                        </link>
                        .
                      </paratext>
                    </para>
                  </list.item>
                  <list.item>
                    <para>
                      <paratext>
                        Beneficial interests under a 
                        <link href="5-107-6322" style="ACTLinkPLCtoPLC">
                          <bold>
                            <ital>constructive trust</ital>
                          </bold>
                        </link>
                        .
                      </paratext>
                    </para>
                  </list.item>
                </list>
                <para>
                  <paratext>For example, if the Property includes a farmhouse or other residential property, it may be occupied by someone other than the Seller, such as the Seller's spouse, partner, adult children, lodger or other licensee.</paratext>
                </para>
              </division>
              <division id="a445713" level="2">
                <head align="left" preservecase="true">
                  <headtext>Company numbers</headtext>
                </head>
                <para>
                  <paratext>When giving the details of a company that is party to a contract, it is always advisable to include the company registration number (if applicable). It is then much easier to identify the relevant party following changes of company name and address.</paratext>
                </para>
              </division>
              <division id="a263494"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the following Practice notes:</paratext>
                </para>
                <para>
                  <paratext>
                    ·
                    <link href="2-521-4815" style="ACTLinkPLCtoPLC">
                      <ital>Formalities for land transactions involving overseas companies (except those under ECTEA 2022)</ital>
                    </link>
                    .
                  </paratext>
                </para>
                <para>
                  <paratext>
                    ·
                    <link href="w-035-0180" style="ACTLinkPLCtoPLC">
                      <ital>Economic Crime (Transparency and Enforcement) Act 2022: property implications</ital>
                    </link>
                    .
                  </paratext>
                </para>
              </division>
              <division id="a851312" level="2">
                <head align="left" preservecase="true">
                  <headtext>Guarantors</headtext>
                </head>
                <para>
                  <paratext>It is not usual but, in some circumstances, it may be appropriate for the Seller to require a guarantor to guarantee the Buyer's contractual obligations. If this is agreed, the guarantor should be joined as a party to the contract, and the document will need to be amended accordingly.</paratext>
                </para>
              </division>
              <division id="a246522" level="2">
                <head align="left" preservecase="true">
                  <headtext>Confirmation of identity</headtext>
                </head>
                <para>
                  <paratext>
                    To increase protection against fraudulent transactions, the Land Registry imposes various requirements relating to identity checks. For details, see 
                    <link href="4-383-9414" style="ACTLinkPLCtoPLC">
                      <ital>Practice note, Confirmation of identity: Land Registry requirements</ital>
                    </link>
                    .
                  </paratext>
                </para>
                <para>
                  <paratext>
                    If this document is being used in a transaction where it is necessary to call for evidence of the identity of a person, consider including a provision to deal with this (see 
                    <link href="8-383-9817" style="ACTLinkPLCtoPLC">
                      <ital>Standard clause, Identity evidence clause</ital>
                    </link>
                    ).
                  </paratext>
                </para>
              </division>
            </division>
          </drafting.note>
          <party executionmethod="contract" id="a111803" status="individual">
            <identifier>(1)</identifier>
            <defn.item>
              <defn>
                <para>
                  <paratext>[[INDIVIDUAL NAME] of [INDIVIDUAL ADDRESS] OR [FULL COMPANY NAME] incorporated and registered in England and Wales with company number [NUMBER] whose registered office is at [REGISTERED OFFICE ADDRESS]]</paratext>
                </para>
              </defn>
              <defn.term>Seller</defn.term>
            </defn.item>
          </party>
          <party executionmethod="contract" id="a176880" status="individual">
            <identifier>(2)</identifier>
            <defn.item>
              <defn>
                <para>
                  <paratext>[[INDIVIDUAL NAME] of [INDIVIDUAL ADDRESS] OR [FULL COMPANY NAME] incorporated and registered in England and Wales with company number [NUMBER] whose registered office is at [REGISTERED OFFICE ADDRESS]]</paratext>
                </para>
              </defn>
              <defn.term>Buyer</defn.term>
            </defn.item>
          </party>
          <party condition="optional" executionmethod="contract" id="a467814" status="individual">
            <identifier>(3)</identifier>
            <defn.item>
              <defn>
                <para>
                  <paratext>[INDIVIDUAL NAME] of [INDIVIDUAL ADDRESS]</paratext>
                </para>
              </defn>
              <defn.term>Occupier</defn.term>
            </defn.item>
          </party>
        </parties>
        <operative xrefname="clause">
          <head align="left" preservecase="true">
            <headtext>Agreed terms</headtext>
          </head>
          <clause id="a334591">
            <identifier>1.</identifier>
            <head align="left" preservecase="true">
              <headtext>Interpretation</headtext>
            </head>
            <para>
              <paratext>The following definitions and rules of interpretation apply in this contract.</paratext>
            </para>
            <subclause1 id="a729800">
              <identifier>1.1</identifier>
              <para>
                <paratext>Definitions:</paratext>
              </para>
              <defn.item id="a215342">
                <defn.term>AA 2020</defn.term>
                <defn>
                  <para>
                    <paratext>
                      Agriculture Act 2020
                      <defn.term>.</defn.term>
                    </paratext>
                  </para>
                </defn>
              </defn.item>
              <defn.item condition="optional" id="a485784">
                <defn.term>Agri-environment Agreements</defn.term>
                <defn>
                  <para>
                    <paratext>
                      the agri-environment agreements or environmental schemes or substituted environmental land management schemes under the AA 2020 or other schemes listed in 
                      <internal.reference refid="a859645">Schedule 1</internal.reference>
                       and any documents supplemental to them.
                    </paratext>
                  </para>
                </defn>
              </defn.item>
              <defn.item id="a840772">
                <defn.term>ATA 1995</defn.term>
                <defn>
                  <para>
                    <paratext>Agricultural Tenancies Act 1995.</paratext>
                  </para>
                </defn>
              </defn.item>
              <defn.item condition="optional" id="a792954">
                <defn.term>Buyer's Conveyancer</defn.term>
                <defn>
                  <para>
                    <paratext>[NAME, ADDRESS, FAX NUMBER, REFERENCE].</paratext>
                  </para>
                </defn>
                <drafting.note id="a456758" jurisdiction="">
                  <head align="left" preservecase="true">
                    <headtext>Buyer's Conveyancer</headtext>
                  </head>
                  <division id="a000021" level="1">
                    <para>
                      <paratext>Insert here the name of the firm of conveyancers representing the Buyer, with a reference to the particular person acting.</paratext>
                    </para>
                    <para>
                      <paratext>
                        Traditionally, a contract would have referred to a party's 
                        <bold>solicitor. </bold>
                         However, the SCPC use the term "conveyancer". "Conveyancer" means a solicitor, a licensed conveyancer or fellow of the Institute of Legal Executives (SCPC 1.1.1(f)) (see 
                        <link anchor="a693288" href="w-007-9608" style="ACTLinkPLCtoPLC">
                          <ital>Practice note, SCPC 1: General (Standard Commercial Property Conditions, Third Edition – 2018 Revision): Conveyancer (SCPC 1.1.1(f))</ital>
                        </link>
                        ).
                      </paratext>
                    </para>
                    <para>
                      <paratext>The definition provides optionality to include the fax number of the buyer's conveyancers. Whether to include this numbers should be considered in conjunction with the methods of service chosen in clause 23.2. For more information, see Drafting note, Notices.</paratext>
                    </para>
                  </division>
                </drafting.note>
              </defn.item>
              <defn.item condition="optional" id="a531904">
                <defn.term>CAA 2001</defn.term>
                <defn>
                  <para>
                    <paratext>Capital Allowances Act 2001.</paratext>
                  </para>
                </defn>
                <drafting.note id="a81201" jurisdiction="">
                  <head align="left" preservecase="true">
                    <headtext>Capital allowances (optional definition)</headtext>
                  </head>
                  <division id="a000022" level="1">
                    <para>
                      <paratext>
                        This definition should be inserted if 
                        <internal.reference refid="a333383">clause 15</internal.reference>
                         and 
                        <internal.reference refid="a98056">Schedule 8</internal.reference>
                         are inserted.
                      </paratext>
                    </para>
                  </division>
                </drafting.note>
              </defn.item>
              <defn.item id="a244484">
                <defn.term>Charge[s]</defn.term>
                <defn>
                  <para>
                    <paratext>
                      [the charge[s] appearing at [entry [NUMBER] 
                      <bold>OR</bold>
                       entries [NUMBER] and [NUMBER]] of the charges register of title number [NUMBER] as at [DATE AND TIME OF OFFICIAL COPIES] 
                      <bold>OR</bold>
                       the charge[s] dated [DATE[S]] made between [PARTIES] [in so far as [it 
                      <bold>OR </bold>
                      they] affect[s] the Property]].
                    </paratext>
                  </para>
                </defn>
                <drafting.note id="a800553" jurisdiction="">
                  <head align="left" preservecase="true">
                    <headtext>Charge[s]</headtext>
                  </head>
                  <division id="a000023" level="1">
                    <para>
                      <paratext>
                        List here those financial charges that are intended to be discharged on or before completion, so that the Property will be sold free of them. The definition is used primarily in relation to 
                        <internal.reference refid="a557630">clause 9</internal.reference>
                        .
                      </paratext>
                    </para>
                  </division>
                </drafting.note>
              </defn.item>
              <defn.item id="a252537">
                <defn.term>Completion Date</defn.term>
                <defn>
                  <para>
                    <paratext>[INSERT DATE]</paratext>
                  </para>
                </defn>
                <drafting.note id="a616748" jurisdiction="">
                  <head align="left" preservecase="true">
                    <headtext>Completion date</headtext>
                  </head>
                  <division id="a000024" level="1">
                    <para>
                      <paratext>Traditionally (but not always) a contract for the sale of agricultural land provides that the sale will complete on 29 September or 11 October, irrespective of when contracts are exchanged.</paratext>
                    </para>
                    <para>
                      <paratext>The document includes an express definition of the Completion Date for the following reasons:</paratext>
                    </para>
                    <para>
                      <paratext>It is helpful to make the completion date prominent on the face of the contract, even if the parties agree a completion date that is 20 working days after the date of the contract, in accordance with the SCPC.</paratext>
                    </para>
                    <para>
                      <paratext>The contract can readily be amended if the Completion Date is not to be the same as under the SCPC.</paratext>
                    </para>
                    <para>
                      <paratext>The SCPC define the completion date as:</paratext>
                    </para>
                    <para>
                      <paratext>"the date that is 20 working days after the date of the contract"</paratext>
                    </para>
                    <para>
                      <paratext>
                        (
                        <ital>SCPC 1.1.1(d) and SCPC 9.1.1</ital>
                        .)
                      </paratext>
                    </para>
                    <para>
                      <paratext>
                        For the sake of certainty, SCPC 9.1.1 is excluded from this contract. See 
                        <internal.reference refid="a526701">clause 12.2</internal.reference>
                        .
                      </paratext>
                    </para>
                    <para>
                      <paratext>For further information, see Practice notes:</paratext>
                    </para>
                    <list type="bulleted">
                      <list.item>
                        <para>
                          <paratext>
                            <link anchor="a776308" href="w-007-9608" style="ACTLinkPLCtoPLC">
                              <ital>Practice note, SCPC 1: General (Standard Commercial Property Conditions, Third Edition – 2018 Revision): Completion date (SCPC 1.1.1(d))</ital>
                            </link>
                            .
                          </paratext>
                        </para>
                      </list.item>
                      <list.item>
                        <para>
                          <paratext>
                            <link anchor="a348776" href="w-007-9013" style="ACTLinkPLCtoPLC">
                              <ital>Practice note, SCPC 9: Completion (Standard Commercial Property Conditions, Third Edition – 2018 Revision): Date (SCPC 9.1)</ital>
                            </link>
                            .
                          </paratext>
                        </para>
                      </list.item>
                    </list>
                    <para>
                      <paratext>
                        Any agreement whereby the Completion Date may be deferred (as, for example, where the contract is made conditional), is best dealt with in the clause dealing with completion (see 
                        <internal.reference refid="a418773">clause 12</internal.reference>
                        ).
                      </paratext>
                    </para>
                  </division>
                </drafting.note>
              </defn.item>
              <defn.item condition="optional" id="a148702">
                <defn.term>Contents</defn.term>
                <defn>
                  <para>
                    <paratext>
                      the contents/chattels specified in 
                      <internal.reference refid="a515502">Schedule 2</internal.reference>
                      .
                    </paratext>
                  </para>
                </defn>
                <drafting.note id="a879608" jurisdiction="">
                  <head align="left" preservecase="true">
                    <headtext>Contents (optional definition)</headtext>
                  </head>
                  <division id="a000025" level="1">
                    <para>
                      <paratext>
                        If the parties agree that any contents will be left in the Property on completion, these should be clearly identified in 
                        <internal.reference refid="a515502">Schedule 2</internal.reference>
                         to avoid any subsequent dispute. In the context of an agricultural sale, the word "chattels" could include all kinds of fittings and contents, such as poultry units, field shelters or even timber buildings which may not be fixed to the Property to fall within the definition of fixtures. The word “contents” relate to moveable objects in houses or cottages. If there are no contents, delete this defined term and 
                        <internal.reference refid="a515502">Schedule 2</internal.reference>
                        . The document has a separate definition for Plant, Equipment and Machinery.
                      </paratext>
                    </para>
                    <para>
                      <paratext>
                        If the sale is to include contents and chattels, the parties may wish to apportion the Purchase Price between the Property and the Contents and chattels. This can be done using the optional clauses in 
                        <internal.reference refid="a827254">clause 2</internal.reference>
                        .
                      </paratext>
                    </para>
                    <para>
                      <paratext>
                        Remember to amend 
                        <internal.reference refid="a405528">clause 7</internal.reference>
                         so that the Seller's obligation to give vacant possession is subject to the Contents remaining in the Property.
                      </paratext>
                    </para>
                    <para>
                      <paratext>
                        For more information, see 
                        <internal.reference refid="a146578">Drafting note, Contents</internal.reference>
                        .
                      </paratext>
                    </para>
                  </division>
                </drafting.note>
              </defn.item>
              <defn.item id="a427821">
                <defn.term>Contract Rate</defn.term>
                <defn>
                  <para>
                    <paratext>interest at [4]% per annum above the base rate from time to time of [Barclays Bank plc].</paratext>
                  </para>
                </defn>
                <drafting.note id="a140201" jurisdiction="">
                  <head align="left" preservecase="true">
                    <headtext>Contract Rate</headtext>
                  </head>
                  <division id="a000026" level="1">
                    <para>
                      <paratext>The Contract Rate is the rate of interest that is charged on the completion monies due if completion takes place after the contractual completion date.</paratext>
                    </para>
                    <para>
                      <paratext>
                        Under SCPC 1.1.1 (e) the contract rate is the Law Society's interest rate from time to time (see 
                        <link anchor="a574917" href="w-007-9608" style="ACTLinkPLCtoPLC">
                          <ital>Practice note, SCPC 1: General (Standard Commercial Property Conditions, Third Edition – 2018 Revision): Contract rate (SCPC 1.1.1(e))</ital>
                        </link>
                        ).
                      </paratext>
                    </para>
                    <para>
                      <paratext>The standard document includes an express definition of Contract Rate so that the parties can include their chosen rate and ensure that it is easily identifiable in the contract.</paratext>
                    </para>
                    <para>
                      <paratext>Using the document's definition of Contract Rate in the standard document or SCPC 1.1.1(e), means that the rate of interest will fluctuate with changes in the applicable base rate. A very low, or negative, base rate will therefore reduce the interest payable under the document.</paratext>
                    </para>
                    <para>
                      <paratext>A seller may not be willing to risk very little, or no, interest being payable in the event the buyer defaults. One way to prevent this is to draft the Contract Rate so that it is calculated by reference to a fixed amount. For example:</paratext>
                    </para>
                    <para>
                      <paratext>
                        "
                        <bold>Contract Rate:</bold>
                         interest at the higher of:
                      </paratext>
                    </para>
                    <list type="bulleted">
                      <list.item>
                        <para>
                          <paratext>[5]%; and</paratext>
                        </para>
                      </list.item>
                      <list.item>
                        <para>
                          <paratext>[4%] above the base rate from time to time of [Barclays Bank Plc]."</paratext>
                        </para>
                      </list.item>
                    </list>
                    <para>
                      <paratext>
                        However, when determining the contract rate, the seller's conveyancer should bear in mind the risk that interest charged for late completion may constitute a penalty clause, and so be unenforceable. For more information, see 
                        <link href="7-107-3799" style="ACTLinkPLCtoPLC">
                          <ital>Practice note, Interest clauses</ital>
                        </link>
                        .
                      </paratext>
                    </para>
                  </division>
                </drafting.note>
              </defn.item>
              <defn.item id="a735161">
                <defn.term>Defra</defn.term>
                <defn>
                  <para>
                    <paratext>the Department for Environment, Food and Rural Affairs and any successor ministry or department.</paratext>
                  </para>
                </defn>
              </defn.item>
              <defn.item id="a451468">
                <defn.term>Delinked Payment</defn.term>
                <defn>
                  <para>
                    <paratext>the payment defined by section 5(3) of the Agriculture (Delinked Payments and Consequential Provisions) (England) Regulations 2023 and any subsequent amendment thereof.</paratext>
                  </para>
                </defn>
              </defn.item>
              <defn.item id="a845357">
                <defn.term>Deposit</defn.term>
                <defn>
                  <para>
                    <paratext>£[AMOUNT] (exclusive of VAT).</paratext>
                  </para>
                  <para>
                    <paratext>
                      <bold>Electronic Payment</bold>
                      : payment by electronic means in same day cleared funds from an account held in the name of the Buyer’s Conveyancer at a clearing bank to an account in the name of the Seller’s Conveyancer.
                    </paratext>
                  </para>
                </defn>
                <drafting.note id="a567759" jurisdiction="">
                  <head align="left" preservecase="true">
                    <headtext>Electronic Payment</headtext>
                  </head>
                  <division id="a000028" level="1">
                    <para>
                      <paratext>
                        This definition is used in 
                        <internal.reference refid="a760575">clause 5.2</internal.reference>
                        , 
                        <internal.reference refid="a661309">clause 5.6</internal.reference>
                         and 
                        <internal.reference refid="a120293">clause 12.6</internal.reference>
                        . It specifies the method by which the Buyer must pay the Deposit and completion monies. Payment must be:
                      </paratext>
                    </para>
                    <list type="bulleted">
                      <list.item>
                        <para>
                          <paratext>By electronic means.</paratext>
                        </para>
                      </list.item>
                      <list.item>
                        <para>
                          <paratext>In same day cleared funds.</paratext>
                        </para>
                      </list.item>
                      <list.item>
                        <para>
                          <paratext>From an account held in the name of the buyer’s conveyancer.</paratext>
                        </para>
                      </list.item>
                      <list.item>
                        <para>
                          <paratext>At a clearing bank (which SCPC 1.1.1(c) defines as "a bank admitted by the Bank of England as a direct participant in the CHAPS system").</paratext>
                        </para>
                      </list.item>
                      <list.item>
                        <para>
                          <paratext>To an account in the name of the seller’s conveyancer.</paratext>
                        </para>
                      </list.item>
                    </list>
                    <para>
                      <paratext>This definition mirrors the wording used in SCPC 3.2.2 (which is excluded from this contract) and SCPC 9.7 (which is amended by this contract) except that:</paratext>
                    </para>
                    <list type="bulleted">
                      <list.item>
                        <para>
                          <paratext>
                            SCPC 3.2.2 and SCPC 9.7 specify that the deposit and completion monies must be paid from an account in the name of 
                            <bold>a</bold>
                             conveyancer, not necessarily the buyer’s conveyancer. The definition specifies the originating account so that the seller has certainty as to where the monies will be received from. However, if there is a chain of transactions, the buyer may want to amend this definition to allow the deposit to be paid to the Seller’s Conveyancer by a conveyancer further down the chain than the buyer’s conveyancer.
                          </paratext>
                        </para>
                      </list.item>
                      <list.item>
                        <para>
                          <paratext>SCPC 3.2.2 does not require the deposit to be paid in same day cleared funds.</paratext>
                        </para>
                      </list.item>
                    </list>
                  </division>
                </drafting.note>
              </defn.item>
              <defn.item id="a185103">
                <defn.term>Expert</defn.term>
                <defn>
                  <para>
                    <paratext>
                      has the meaning given in 
                      <internal.reference refid="a318431">clause 26</internal.reference>
                      .
                    </paratext>
                  </para>
                </defn>
              </defn.item>
              <defn.item condition="optional" id="a414845">
                <defn.term>Forestry Commission</defn.term>
                <defn>
                  <para>
                    <paratext>the body responsible for the administration of Woodland Grant Agreements in England and any other body discharging similar functions from time to time.</paratext>
                  </para>
                </defn>
              </defn.item>
              <defn.item condition="optional" id="a374456">
                <defn.term>Holdover Period</defn.term>
                <defn>
                  <para>
                    <paratext>
                      the period of time defined in 
                      <internal.reference refid="a231808">clause 18</internal.reference>
                      .
                    </paratext>
                  </para>
                </defn>
                <drafting.note id="a353639" jurisdiction="">
                  <head align="left" preservecase="true">
                    <headtext>Holdover Period (optional definition)</headtext>
                  </head>
                  <division id="a000029" level="1">
                    <para>
                      <paratext>
                        The defined term Holdover Period is used in 
                        <internal.reference refid="a231808">clause 18</internal.reference>
                        , 
                        <internal.reference refid="a768847">clause 22.2</internal.reference>
                         and 
                        <internal.reference refid="a729418">clause 23.3</internal.reference>
                        .
                      </paratext>
                    </para>
                  </division>
                </drafting.note>
              </defn.item>
              <defn.item id="a719993">
                <defn.term>Incumbrance</defn.term>
                <defn>
                  <para>
                    <paratext>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paratext>
                  </para>
                </defn>
              </defn.item>
              <defn.item id="a471099">
                <defn.term>Livestock</defn.term>
                <defn>
                  <para>
                    <paratext>
                      the animals as listed per head in 
                      <internal.reference refid="a743158">Schedule 4</internal.reference>
                       and any offspring produced by those animals after the date of this contract.
                    </paratext>
                  </para>
                </defn>
                <drafting.note id="a828804" jurisdiction="">
                  <head align="left" preservecase="true">
                    <headtext>Livestock</headtext>
                  </head>
                  <division id="a000030" level="1">
                    <para>
                      <paratext>
                        If the sale is to include livestock, the parties may wish to apportion the Purchase Price between the Property and the Livestock. This can be done using the optional clauses in 
                        <internal.reference refid="a827254">clause 2</internal.reference>
                        .
                      </paratext>
                    </para>
                  </division>
                </drafting.note>
              </defn.item>
              <defn.item id="a179629">
                <defn.term>Management Information</defn.term>
                <defn>
                  <para>
                    <paratext>all documents, correspondence, notices, assessments, applications, contracts, memoranda, declarations, statutory declarations and other written communications or documentation relating to the Property.</paratext>
                  </para>
                </defn>
              </defn.item>
              <defn.item condition="optional" id="a457043">
                <defn.term>Natural England</defn.term>
                <defn>
                  <para>
                    <paratext>the body responsible for the administration of Agri-environment Agreements in England and any other body discharging similar functions from time to time.</paratext>
                  </para>
                </defn>
              </defn.item>
              <defn.item id="a109274">
                <defn.term>Part 1 Conditions</defn.term>
                <defn>
                  <para>
                    <paratext>
                      the conditions in Part 1 of the Standard Commercial Property Conditions (Third Edition – 2018 Revision) and 
                      <bold>Condition</bold>
                       means any one of them.
                    </paratext>
                  </para>
                </defn>
                <drafting.note id="a1036966" jurisdiction="">
                  <head align="left" preservecase="true">
                    <headtext>Part 1 Conditions</headtext>
                  </head>
                  <division id="a000031" level="1">
                    <para>
                      <paratext>The SCPC themselves contain defined terms. Some are dealt with expressly but the following are relevant and are also incorporated into this contract.</paratext>
                    </para>
                    <list type="bulleted">
                      <list.item>
                        <para>
                          <paratext>
                            <link anchor="a319067" href="w-007-9608" style="ACTLinkPLCtoPLC">
                              <ital>Accrued interest (SCPC 1.1.1(a))</ital>
                            </link>
                            .
                          </paratext>
                        </para>
                      </list.item>
                      <list.item>
                        <para>
                          <paratext>
                            <link anchor="a751114" href="w-007-9608" style="ACTLinkPLCtoPLC">
                              <ital>Apportionment day (SCPC 1.1.1(b))</ital>
                            </link>
                            .
                          </paratext>
                        </para>
                      </list.item>
                      <list.item>
                        <para>
                          <paratext>
                            <link anchor="a808240" href="w-007-9608" style="ACTLinkPLCtoPLC">
                              <ital>Clearing bank (SCPC 1.1.1(c))</ital>
                            </link>
                            <ital>.</ital>
                          </paratext>
                        </para>
                      </list.item>
                      <list.item>
                        <para>
                          <paratext>
                            <link anchor="a693288" href="w-007-9608" style="ACTLinkPLCtoPLC">
                              <ital>Conveyancer (SCPC 1.1.1(f))</ital>
                            </link>
                            .
                            <link anchor="a280672" href="w-007-9608" style="ACTLinkPLCtoPLC">
                              <ital>Lease (SCPC 1.1.1(g))</ital>
                            </link>
                            .
                          </paratext>
                        </para>
                      </list.item>
                      <list.item>
                        <para>
                          <paratext>
                            <link anchor="a845615" href="w-007-9608" style="ACTLinkPLCtoPLC">
                              <ital>Notice to complete (SCPC 1.1.1 (i))</ital>
                            </link>
                            .
                          </paratext>
                        </para>
                      </list.item>
                      <list.item>
                        <para>
                          <paratext>
                            <link anchor="a136185" href="w-007-9608" style="ACTLinkPLCtoPLC">
                              <ital>Option to tax (SCPC 1.1.1 (j))</ital>
                            </link>
                            <ital>.</ital>
                          </paratext>
                        </para>
                      </list.item>
                      <list.item>
                        <para>
                          <paratext>
                            <link anchor="a897597" href="w-007-9608" style="ACTLinkPLCtoPLC">
                              <ital>Post (SCPC 1.1.1(k))</ital>
                            </link>
                            .
                          </paratext>
                        </para>
                      </list.item>
                      <list.item>
                        <para>
                          <paratext>
                            <link anchor="a820512" href="w-007-9608" style="ACTLinkPLCtoPLC">
                              <ital>Public requirement (SCPC 1.1.1(l)</ital>
                            </link>
                            .
                          </paratext>
                        </para>
                      </list.item>
                      <list.item>
                        <para>
                          <paratext>
                            <link anchor="a978515" href="w-007-9608" style="ACTLinkPLCtoPLC">
                              <ital>Requisition (SCPC 1.1.1(m))</ital>
                            </link>
                            .
                          </paratext>
                        </para>
                      </list.item>
                      <list.item>
                        <para>
                          <paratext>
                            <link anchor="a666014" href="w-007-9608" style="ACTLinkPLCtoPLC">
                              <ital>Transfer (SCPC 1.1.1(n))</ital>
                            </link>
                            .
                          </paratext>
                        </para>
                      </list.item>
                      <list.item>
                        <para>
                          <paratext>
                            <link anchor="a985118" href="w-007-9608" style="ACTLinkPLCtoPLC">
                              <ital>Working day (SCPC 1.1.1(p))</ital>
                            </link>
                            .
                          </paratext>
                        </para>
                      </list.item>
                      <list.item>
                        <para>
                          <paratext>
                            <link anchor="a419732" href="w-007-9608" style="ACTLinkPLCtoPLC">
                              <ital>Absolute title and official copies (SCPC 1.1.2)</ital>
                            </link>
                            .
                          </paratext>
                        </para>
                      </list.item>
                      <list.item>
                        <para>
                          <paratext>
                            <link anchor="a471169" href="w-007-9608" style="ACTLinkPLCtoPLC">
                              <ital>Ready, able and willing to complete (SCPC 1.1.3)</ital>
                            </link>
                            .
                          </paratext>
                        </para>
                      </list.item>
                    </list>
                    <para>
                      <paratext>
                        For notes on these defined terms, see 
                        <link href="7-107-4954" style="ACTLinkPLCtoPLC">
                          <ital>Practice note, SCPC 1: General (Standard Commercial Property Conditions, Third Edition – 2018 Revision): Definitions (SCPC 1.1)</ital>
                        </link>
                      </paratext>
                    </para>
                  </division>
                </drafting.note>
              </defn.item>
              <defn.item id="a339692">
                <defn.term>Part 2 Conditions</defn.term>
                <defn>
                  <para>
                    <paratext>the conditions in Part 2 of the Standard Commercial Property Conditions (Third Edition – 2018 Revision).</paratext>
                  </para>
                </defn>
                <drafting.note id="a733844" jurisdiction="">
                  <head align="left" preservecase="true">
                    <headtext>Part 2 Conditions</headtext>
                  </head>
                  <division id="a000032" level="1">
                    <para>
                      <paratext>
                        For more information, see 
                        <internal.reference refid="a553352">Drafting note, Conditions</internal.reference>
                        .
                      </paratext>
                    </para>
                  </division>
                </drafting.note>
              </defn.item>
              <defn.item id="a649590">
                <defn.term>Plan</defn.term>
                <defn>
                  <para>
                    <paratext>the plan attached to this contract.</paratext>
                  </para>
                </defn>
                <drafting.note id="a943425" jurisdiction="">
                  <head align="left" preservecase="true">
                    <headtext>Plan</headtext>
                  </head>
                  <division id="a000033" level="1">
                    <para>
                      <paratext>Only include this defined term if you need a plan. You may need a plan in one of the following situations:</paratext>
                    </para>
                    <list type="bulleted">
                      <list.item>
                        <para>
                          <paratext>
                            The description of Property requires a plan (see 
                            <internal.reference refid="a461197">Drafting note, Property</internal.reference>
                            ).
                          </paratext>
                        </para>
                      </list.item>
                      <list.item>
                        <para>
                          <paratext>
                            There is an issue about title to part of the Property and the Seller needs to reflect this in obligations to deduce title (see 
                            <internal.reference refid="a189818">Drafting note, Deducing title</internal.reference>
                            ).
                          </paratext>
                        </para>
                      </list.item>
                      <list.item>
                        <para>
                          <paratext>
                            The Seller needs to define areas subject to holdover rights, such as storage areas or fields with growing crops that are reserved to the Seller (see 
                            <internal.reference refid="a458914">Drafting note, Holdover (optional clause)</internal.reference>
                            ).
                          </paratext>
                        </para>
                      </list.item>
                    </list>
                    <para>
                      <paratext>For more information on plans and boundaries, see:</paratext>
                    </para>
                    <list type="bulleted">
                      <list.item>
                        <para>
                          <paratext>
                            <link href="2-107-4452" style="ACTLinkPLCtoPLC">
                              <ital>Practice Note, Boundaries and boundary rules</ital>
                            </link>
                            .
                          </paratext>
                        </para>
                      </list.item>
                      <list.item>
                        <para>
                          <paratext>
                            <link href="1-201-2562" style="ACTLinkPLCtoPLC">
                              <ital>Checklist, Land registration: submitting plans</ital>
                            </link>
                            .
                          </paratext>
                        </para>
                      </list.item>
                    </list>
                  </division>
                </drafting.note>
              </defn.item>
              <defn.item condition="optional" id="a162088">
                <defn.term>Plant, Equipment and Machinery</defn.term>
                <defn>
                  <para>
                    <paratext>
                      the plant, equipment and machinery listed in 
                      <internal.reference refid="a897440">Schedule 5</internal.reference>
                      .
                    </paratext>
                  </para>
                </defn>
              </defn.item>
              <defn.item condition="optional" id="a828873">
                <defn.term>Property</defn.term>
                <defn>
                  <para>
                    <paratext>[the freehold property at [ADDRESS] and registered at HM Land Registry with [title absolute] title under title number[s] [NUMBER[S]]</paratext>
                  </para>
                  <para>
                    <paratext>
                      <bold>OR</bold>
                    </paratext>
                  </para>
                  <para>
                    <paratext>the freehold property at [ADDRESS] and shown edged red on the Plan and being part of the property registered at HM Land Registry with title [absolute] under title number[s] [NUMBER[S]]</paratext>
                  </para>
                  <para>
                    <paratext>
                      <bold>OR</bold>
                    </paratext>
                  </para>
                  <para>
                    <paratext>the freehold property at [ADDRESS] comprised within a conveyance dated [DATE] between [PARTY] and [PARTY]</paratext>
                  </para>
                  <para>
                    <paratext>
                      <bold>OR</bold>
                    </paratext>
                  </para>
                  <para>
                    <paratext>the freehold property at [ADDRESS] shown edged red on the Plan and being part of the land comprised in a conveyance dated [DATE] between [PARTY] and [PARTY]].</paratext>
                  </para>
                </defn>
                <drafting.note id="a461197" jurisdiction="">
                  <head align="left" preservecase="true">
                    <headtext>Property</headtext>
                  </head>
                  <division id="a000034" level="1">
                    <para>
                      <paratext>The contract should contain both of the following:</paratext>
                    </para>
                    <list type="bulleted">
                      <list.item>
                        <para>
                          <paratext>A clear and accurate description of the physical extent of the property to be sold.</paratext>
                        </para>
                      </list.item>
                      <list.item>
                        <para>
                          <paratext>A statement as to the estate being sold (freehold) and the quality of title (absolute, qualified, possessory).</paratext>
                        </para>
                      </list.item>
                    </list>
                    <para>
                      <paratext>
                        Any inaccuracy in the description of the Property may give rise to an action for breach of contract (see 
                        <link href="w-007-9367" style="ACTLinkPLCtoPLC">
                          <ital>Practice note, SCPC 10: Remedies (Standard Commercial Property Conditions, Third Edition – 2018 Revision)</ital>
                        </link>
                        ). 
                        <ital> </ital>
                      </paratext>
                    </para>
                    <para>
                      <paratext>
                        If the sale is of a 
                        <bold>registered</bold>
                         estate:
                      </paratext>
                    </para>
                    <list type="bulleted">
                      <list.item>
                        <para>
                          <paratext>The title number(s) should be referred to.</paratext>
                        </para>
                      </list.item>
                      <list.item>
                        <para>
                          <paratext>
                            The class of title under which the estate is registered (for example, absolute) should also be included to give the buyer an accurate description of the estate being sold. The class of title is relevant also to the title guarantee given by the seller. For details of the different classes of title available, see 
                            <link href="4-107-4451" style="ACTLinkPLCtoPLC">
                              <ital>Practice note, First registration of title under the Land Registration Act 2002</ital>
                            </link>
                            .
                          </paratext>
                        </para>
                      </list.item>
                    </list>
                    <para>
                      <paratext>
                        If the sale is of an 
                        <bold>unregistered estate</bold>
                        , the sale will trigger a requirement for the land to be registered. Take care that the description of the unregistered land is sufficiently clear to enable the Land Registry to register. Parties add a specific description of the property with reference to a schedule of Ordnance Survey numbers and acreage/hectares.
                      </paratext>
                    </para>
                    <para>
                      <paratext>
                        The document assumes a sale of whole. If it is a sale of part, amendments will need to be made to the contract and a plan will be needed to show the part being sold (see 
                        <internal.reference refid="a135525">Drafting note, If the contract is for the sale of part</internal.reference>
                        ).
                      </paratext>
                    </para>
                    <division id="a731211" level="2">
                      <head align="left" preservecase="true">
                        <headtext>Defining the Property by reference to a plan</headtext>
                      </head>
                      <para>
                        <paratext>If the Property is defined by reference to a plan, it is important that the plan prevails over any written description of the Property. A plan that is referred to as being "for identification purposes only" (so that the written description of the land in the contract will prevail) will not be acceptable in connection with registered land or land that is to be registered, and will be returned by the Land Registry. Note the following:</paratext>
                      </para>
                      <list type="bulleted">
                        <list.item>
                          <para>
                            <paratext>The Land Registry will require a plan showing the property edged in red. The plan must be to scale and must be executed. The plan should show the property edged in red.</paratext>
                          </para>
                        </list.item>
                        <list.item>
                          <para>
                            <paratext>The contract should describe the property by reference to the plan and the red edging.</paratext>
                          </para>
                        </list.item>
                        <list.item>
                          <para>
                            <paratext>
                              It is important that there is no confusion so that the property is described by reference to a plan, which is then referred to as being for the purposes of identification only. This would be meaningless (
                              <link href="D-008-7718" style="ACTLinkURL">
                                <ital>Neilson v Poole (1969) 20 P &amp; CR 909</ital>
                              </link>
                              ).
                            </paratext>
                          </para>
                        </list.item>
                      </list>
                      <para>
                        <paratext>For further information, see:</paratext>
                      </para>
                      <list type="bulleted">
                        <list.item>
                          <para>
                            <paratext>
                              <link href="1-201-2562" style="ACTLinkPLCtoPLC">
                                <ital>Checklist, Land registration: submitting plans</ital>
                              </link>
                              .
                            </paratext>
                          </para>
                        </list.item>
                        <list.item>
                          <para>
                            <paratext>
                              <link href="1-106-6711" style="ACTLinkPLCtoPLC">
                                <ital> Land Registry guide 1 - First Registrations</ital>
                              </link>
                              .
                            </paratext>
                          </para>
                        </list.item>
                        <list.item>
                          <para>
                            <paratext>
                              <link href="1-106-6551" style="ACTLinkPLCtoPLC">
                                <ital>Land Registry guide 40 - Land Registry plans</ital>
                              </link>
                              .
                            </paratext>
                          </para>
                        </list.item>
                        <list.item>
                          <para>
                            <paratext>
                              <link href="4-107-4451" style="ACTLinkPLCtoPLC">
                                <ital>Practice note, First registration of title under the Land Registration Act 2002</ital>
                              </link>
                              .
                            </paratext>
                          </para>
                        </list.item>
                        <list.item>
                          <para>
                            <paratext>
                              <link href="2-107-4452" style="ACTLinkPLCtoPLC">
                                <ital>Practice note, Boundaries and boundary rules</ital>
                              </link>
                              .
                            </paratext>
                          </para>
                        </list.item>
                      </list>
                    </division>
                  </division>
                </drafting.note>
              </defn.item>
              <defn.item id="a484226">
                <defn.term>Purchase Price</defn.term>
                <defn>
                  <para>
                    <paratext>£[AMOUNT] (exclusive of VAT).</paratext>
                  </para>
                </defn>
                <drafting.note id="a158075" jurisdiction="">
                  <head align="left" preservecase="true">
                    <headtext>Purchase Price</headtext>
                  </head>
                  <division id="a000035" level="1">
                    <para>
                      <paratext>If a purchase price is to be paid, the amount should be inserted here, otherwise the defined term should be deleted.</paratext>
                    </para>
                    <para>
                      <paratext>
                        If a purchase price is payable, the amount inserted should be exclusive of any VAT. 
                        <internal.reference refid="a752485">Clause 11</internal.reference>
                         deals with the obligation to pay VAT, if any is payable.
                      </paratext>
                    </para>
                    <para>
                      <paratext>The document provides for the Purchase Price to be expressed in figures. If words and figures are used, take care to avoid any inadvertent discrepancy.</paratext>
                    </para>
                    <para>
                      <paratext>
                        The Buyer will be liable for any Stamp Duty Land Tax (SDLT) due on the amount of the Purchase Price (including any VAT payable). For further information, see 
                        <link href="w-006-4233" style="ACTLinkPLCtoPLC">
                          <ital>Practice note, SDLT: overview</ital>
                        </link>
                        .
                      </paratext>
                    </para>
                  </division>
                </drafting.note>
              </defn.item>
              <defn.item id="a652287">
                <defn.term>RICS</defn.term>
                <defn>
                  <para>
                    <paratext>Royal Institution of Chartered Surveyors.</paratext>
                  </para>
                </defn>
              </defn.item>
              <defn.item id="a182633">
                <defn.term>RPA</defn.term>
                <defn>
                  <para>
                    <paratext>the Rural Payments Agency responsible for the administration of the Basic Payment Scheme and any other payments which are substituted under the AA 2020 or subsequent legislation in England and any other body discharging similar functions from time to time.</paratext>
                  </para>
                </defn>
              </defn.item>
              <defn.item id="a235174">
                <defn.term>Seller's Agent</defn.term>
                <defn>
                  <para>
                    <paratext>[NAME, ADDRESS, FAX NUMBER, REFERENCE].</paratext>
                  </para>
                </defn>
              </defn.item>
              <defn.item id="a550614">
                <defn.term>Seller's Conveyancer</defn.term>
                <defn>
                  <para>
                    <paratext>[NAME, ADDRESS, FAX NUMBER, REFERENCE].</paratext>
                  </para>
                </defn>
                <drafting.note id="a412875" jurisdiction="">
                  <head align="left" preservecase="true">
                    <headtext>Seller's Conveyancer</headtext>
                  </head>
                  <division id="a000036" level="1">
                    <para>
                      <paratext>Put in here the name of the firm of solicitors representing the Seller, with a reference to the particular person acting.</paratext>
                    </para>
                    <para>
                      <paratext>
                        Traditionally, a contract would have referred to a party's 
                        <bold>solicitor</bold>
                        , but the SCPC use the term "conveyancer". "Conveyancer" means a solicitor, licensed conveyancer or fellow of the Institute of Legal Executives (see 
                        <link anchor="a693288" href="w-007-9608" style="ACTLinkPLCtoPLC">
                          <ital>Practice note, SCPC 1: General (Standard Commercial Property Conditions, Third Edition – 2018 Revision): Conveyancer (SCPC 1.1.1(f))</ital>
                        </link>
                        ).
                      </paratext>
                    </para>
                    <para>
                      <paratext>
                        It may be necessary for the Seller to provide evidence of its identity (see 
                        <internal.reference refid="a246522">Drafting note, Confirmation of identity</internal.reference>
                        ).
                      </paratext>
                    </para>
                  </division>
                </drafting.note>
              </defn.item>
              <defn.item id="a198208">
                <defn.term>VAT</defn.term>
                <defn>
                  <para>
                    <paratext>value added tax [or any equivalent tax] chargeable in the UK [or elsewhere].</paratext>
                  </para>
                </defn>
              </defn.item>
              <defn.item condition="optional" id="a423893">
                <defn.term>Water Abstraction Licence</defn.term>
                <defn>
                  <para>
                    <paratext>the water abstraction licence dated [DATE] with licence number [NUMBER].</paratext>
                  </para>
                </defn>
              </defn.item>
              <defn.item condition="optional" id="a394576">
                <defn.term>Woodland Grant Agreements</defn.term>
                <defn>
                  <para>
                    <paratext>
                      the woodland grant agreements listed in 
                      <internal.reference refid="a690326">Schedule 6</internal.reference>
                       and any documents supplemental to them.
                    </paratext>
                  </para>
                </defn>
              </defn.item>
              <defn.item condition="optional" id="a262646">
                <defn.term>Works</defn.term>
                <defn>
                  <para>
                    <paratext>cultivations and acts of husbandry, including hedge trimming [and [DESCRIPTION OF APPROVED WORKS]].</paratext>
                  </para>
                  <para>
                    <paratext>
                      <bold>Written Replies</bold>
                      : are
                    </paratext>
                  </para>
                  <list type="loweralpha">
                    <list.item>
                      <para>
                        <paratext>written replies that the Seller's Conveyancer has given prior to exchange of this contract to any written enquiries raised by the Buyer's Conveyancer; or</paratext>
                      </para>
                    </list.item>
                    <list.item>
                      <para>
                        <paratext>written replies to written enquiries given prior to exchange of this agreement by the Seller's Conveyancer to the Buyer's Conveyancer.</paratext>
                      </para>
                    </list.item>
                  </list>
                </defn>
                <drafting.note id="a397553" jurisdiction="">
                  <head align="left" preservecase="true">
                    <headtext>Works (optional definition)</headtext>
                  </head>
                  <division id="a000037" level="1">
                    <para>
                      <paratext>
                        This definition is used in 
                        <internal.reference refid="a186918">clause 20</internal.reference>
                         (Early access rights).
                      </paratext>
                    </para>
                  </division>
                </drafting.note>
              </defn.item>
            </subclause1>
            <subclause1 id="a429454">
              <identifier>1.2</identifier>
              <para>
                <paratext>
                  A 
                  <defn.term>person</defn.term>
                   includes a natural person, corporate or unincorporated body (whether or not having separate legal personality).
                </paratext>
              </para>
            </subclause1>
            <subclause1 id="a927431">
              <identifier>1.3</identifier>
              <para>
                <paratex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paratext>
              </para>
            </subclause1>
            <subclause1 id="a699078">
              <identifier>1.4</identifier>
              <para>
                <paratex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paratext>
              </para>
            </subclause1>
            <subclause1 id="a649717">
              <identifier>1.5</identifier>
              <para>
                <paratext>
                  [Except in relation to 
                  <internal.reference refid="a139988">clause 1.12</internal.reference>
                  , a reference] 
                  <bold>OR</bold>
                   [A reference] to 
                  <defn.term>writing</defn.term>
                   or 
                  <defn.term>written</defn.term>
                   [includes fax but not email 
                  <bold>OR</bold>
                   excludes fax and email].
                </paratext>
              </para>
              <drafting.note id="a847500" jurisdiction="">
                <head align="left" preservecase="true">
                  <headtext>Meaning of writing</headtext>
                </head>
                <division id="a000038" level="1">
                  <para>
                    <paratext>
                      This clause has particular relevance for the interpretation of the notices clause and the entire agreement clause. 
                      <internal.reference refid="a139988">clause 1.12</internal.reference>
                       is an optional provision in the entire agreement clause that extends the meaning of "written" to include pre-contract enquiries made (or replied to) by email.
                    </paratext>
                  </para>
                  <para>
                    <paratext>
                      For more information on email and notices, see 
                      <link href="3-107-3843" style="ACTLinkPLCtoPLC">
                        <ital>Practice note, Notice clauses</ital>
                      </link>
                      .
                    </paratext>
                  </para>
                  <para>
                    <paratext>
                      Include the words "Except in relation to Clause 1.12" if optional Clause 1.12 is included. For more information, see 
                      <internal.reference refid="a808748">Drafting note, Interpretation of written replies and written enquiries (optional clause)</internal.reference>
                      .
                    </paratext>
                  </para>
                </division>
              </drafting.note>
            </subclause1>
            <subclause1 id="a532222">
              <identifier>1.6</identifier>
              <para>
                <paratext>Unless the context otherwise requires, references to clauses and Schedules are to the clauses and Schedules of this contract and references to paragraphs are to paragraphs of the relevant Schedule.</paratext>
              </para>
            </subclause1>
            <subclause1 id="a884706">
              <identifier>1.7</identifier>
              <para>
                <paratext>Clause, Schedule and paragraph headings shall not affect the interpretation of this contract.</paratext>
              </para>
            </subclause1>
            <subclause1 id="a998535">
              <identifier>1.8</identifier>
              <para>
                <paratext>The Schedules form part of this contract and shall have effect as if set out in full in the body of this contract. Any reference to this contract includes the Schedules.</paratext>
              </para>
            </subclause1>
            <subclause1 id="a778273">
              <identifier>1.9</identifier>
              <para>
                <paratext>Unless the context otherwise requires, words in the singular shall include the plural and in the plural shall include the singular.</paratext>
              </para>
            </subclause1>
            <subclause1 id="a173482">
              <identifier>1.10</identifier>
              <para>
                <paratext>Unless the context otherwise requires, a reference to one gender shall include a reference to the other genders.</paratext>
              </para>
            </subclause1>
            <subclause1 id="a987854">
              <identifier>1.11</identifier>
              <para>
                <paratext>Any obligation on a party not to do something includes an obligation not to allow that thing to be done.</paratext>
              </para>
            </subclause1>
            <subclause1 condition="optional" id="a139988">
              <identifier>1.12</identifier>
              <para>
                <paratext>For the purposes of the definition of Written Replies, written replies and written enquiries include:</paratext>
              </para>
              <subclause2 condition="optional" id="a849790">
                <identifier>(a)</identifier>
                <para>
                  <paratext>any pre-contract enquiries and any replies to pre-contract enquiries that are requested or given by reference to the [SPECIFY THE STANDARD FORM OF ENQUIRIES USED, INCLUDING THE EDITION] [and include enquiries or replies so requested or given by the email]; and</paratext>
                </para>
              </subclause2>
              <subclause2 condition="optional" id="a328128">
                <identifier>(b)</identifier>
                <para>
                  <paratext>the following pre-contract enquiries and replies that were sent or received by email: [SPECIFY EMAILS].</paratext>
                </para>
                <drafting.note id="a808748" jurisdiction="">
                  <head align="left" preservecase="true">
                    <headtext>Interpretation of written replies and written enquiries (optional clause)</headtext>
                  </head>
                  <division id="a000039"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clause>
          <clause id="a827254">
            <identifier>2.</identifier>
            <head align="left" preservecase="true">
              <headtext>Sale and purchase</headtext>
            </head>
            <drafting.note id="a1057082" jurisdiction="">
              <head align="left" preservecase="true">
                <headtext>Sale and purchase</headtext>
              </head>
              <division id="a000040" level="1">
                <para>
                  <paratext>This clause contains the operative sale and purchase wording of the contract.</paratext>
                </para>
                <division id="a375666" level="2">
                  <head align="left" preservecase="true">
                    <headtext>Livestock</headtext>
                  </head>
                  <para>
                    <paratext>
                      <internal.reference refid="a292807">clause 2.2(b)</internal.reference>
                       enables the parties to state the amount of the Purchase Price that is apportioned to the Livestock. The definition of Livestock includes any offspring produced after exchange of contracts.
                    </paratext>
                  </para>
                </division>
                <division id="a146578" level="2">
                  <head align="left" preservecase="true">
                    <headtext>Contents</headtext>
                  </head>
                  <para>
                    <paratext>
                      The document gives options to identify various different categories of item that are included in the sale besides the Property, of which the following are 
                      <link href="5-382-5591" style="ACTLinkPLCtoPLC">
                        <bold>
                          <ital>chattels</ital>
                        </bold>
                      </link>
                       (tangible, moveable assets):
                    </paratext>
                  </para>
                  <list type="bulleted">
                    <list.item>
                      <para>
                        <paratext>Livestock.</paratext>
                      </para>
                    </list.item>
                    <list.item>
                      <para>
                        <paratext>Plant, Equipment and Machinery, to the extent that the items listed are not classified as fixtures or part of the land itself.</paratext>
                      </para>
                    </list.item>
                    <list.item>
                      <para>
                        <paratext>
                          Growing crops, to the extent that they are not classified as land (see 
                          <internal.reference refid="a538458">Drafting note, Timber and growing crops</internal.reference>
                          ).
                        </paratext>
                      </para>
                    </list.item>
                    <list.item>
                      <para>
                        <paratext>
                          Chattels (a statutorily defined term that enables the parties to list at 
                          <internal.reference refid="a515502">Schedule 2</internal.reference>
                           chattels included in the sale that are not covered by any of these other categories).
                        </paratext>
                      </para>
                    </list.item>
                  </list>
                  <para>
                    <paratext>
                      Any apportionment of the Purchase Price between the Property and the chattels must be realistic. SDLT will not be payable on that part of the Purchase Price attributable to the contents and chattels, but HMRC may require evidence to support the valuation of the contents and chattels. HMRC states that, if any consideration is apportioned to chattels, the buyer must show that it is a genuine attribution. Simply showing there were some chattels in the property is not sufficient evidence. Instead, the sale contract should make it clear whether contents are included in the sale. When determining a just and reasonable apportionment of the purchase price, HMRC's view is that the valuation of any chattels should represent their open market value (including depreciation) at the effective date of the transaction, bearing in mind the age, quality and condition of each item. HMRC generally considers a chattel's open market value to be substantially lower than its acquisition cost. For more information, see 
                      <link anchor="a464573" href="w-006-4217" style="ACTLinkPLCtoPLC">
                        <ital>Practice note, SDLT: chargeable consideration: Fixtures and chattels</ital>
                      </link>
                      .
                    </paratext>
                  </para>
                  <para>
                    <paratext>
                      SCPC 12 applies to the document and provides that, to the extent the contract relates to chattels and contents, the sale of the chattels will operate as a sale of goods and so the 
                      <link href="1-507-2816" style="ACTLinkPLCtoPLC">
                        <ital>Sale of Goods Act 1979</ital>
                      </link>
                       (SGA 1979) or the 
                      <link href="0-606-7466" style="ACTLinkPLCtoPLC">
                        <ital>Consumer Rights Act 2015</ital>
                      </link>
                       (CRA 2015) (as applicable) will apply (see 
                      <link href="w-007-9028" style="ACTLinkPLCtoPLC">
                        <ital>Practice note, SCPC 12: Contents (Standard Commercial Property Conditions, Third Edition – 2018 Revision)</ital>
                      </link>
                      ). The Seller should make sure that by selling any chattels to the Buyer, it will not be in breach of the implied terms under SGA 1979 or the CRA 2015.
                    </paratext>
                  </para>
                  <para>
                    <paratext>The implied terms include the following:</paratext>
                  </para>
                  <list type="bulleted">
                    <list.item>
                      <para>
                        <paratext>The seller has a right to sell the goods.</paratext>
                      </para>
                    </list.item>
                    <list.item>
                      <para>
                        <paratext>The buyer will enjoy quiet possession of the goods.</paratext>
                      </para>
                    </list.item>
                    <list.item>
                      <para>
                        <paratext>The goods are free from undisclosed third party rights and interests.</paratext>
                      </para>
                    </list.item>
                  </list>
                  <para>
                    <paratext>
                      SCPC 12.3 provides that the buyer will take the chattels in the physical state that they are in at the date of the contract. In view of this, the parties may want to record the state of condition of chattels at the date of the contract to avoid subsequent disputes. The condition of assets is also dealt with expressly in 
                      <internal.reference refid="a694450">clause 13.1(b)</internal.reference>
                      .
                    </paratext>
                  </para>
                  <para>
                    <paratext>SCPC 12.4 provides that the chattels will pass to the buyer on completion, but will be at the buyer's risk from the date that contracts are exchanged. The Buyer should therefore insure any chattels included in the sale as from the date of exchange of contracts.</paratext>
                  </para>
                  <para>
                    <paratext>
                      Remember to amend 
                      <internal.reference refid="a405528">clause 7</internal.reference>
                       so that the Seller's obligation to give vacant possession is subject to the chattels remaining on the Property.
                    </paratext>
                  </para>
                </division>
                <division id="a345478" level="2">
                  <head align="left" preservecase="true">
                    <headtext>Sub-sales</headtext>
                  </head>
                  <para>
                    <paratext>
                      <internal.reference refid="a685806">Clause 2.5</internal.reference>
                       expands on SCPC 1.4, which provides that the Buyer is not entitled to transfer the benefit of the contract, and that the Seller cannot be required to transfer the Property in parts, or to any person other than the Buyer (sub-sales) (see 
                      <link anchor="a553182" href="w-007-9608" style="ACTLinkPLCtoPLC">
                        <ital>Practice note, SCPC 1: General (Standard Commercial Property Conditions, Third Edition – 2018 Revision): Assignment and sub-sales (SCPC 1.4)</ital>
                      </link>
                      ).
                    </paratext>
                  </para>
                  <division id="a163334" level="3">
                    <head align="left" preservecase="true">
                      <headtext>Restrictions against sub-sales</headtext>
                    </head>
                    <para>
                      <paratext>A restriction against sub-sales does not prevent the Buyer contracting to re-sell the Property to a third party, but ensures that the sale will have to be completed separately and subsequently. The restriction has the effect of:</paratext>
                    </para>
                    <list type="bulleted">
                      <list.item>
                        <para>
                          <paratext>Warning the Seller that the Buyer may be selling the Property on at a profit.</paratext>
                        </para>
                        <para>
                          <paratext>If the Buyer objects to the restriction on sub-sales, the Seller will wish to investigate further and the matter is then something for negotiation between the parties.</paratext>
                        </para>
                      </list.item>
                    </list>
                    <list type="bulleted">
                      <list.item>
                        <para>
                          <paratext>Avoiding the administrative work and complications, and consequent costs and delay, involved in the transfer of parts and price apportionments.</paratext>
                        </para>
                      </list.item>
                      <list.item>
                        <para>
                          <paratext>Ensuring that if there needs to be any indemnity covenant given in the transfer, it is clear to the Seller who will be giving that covenant.</paratext>
                        </para>
                      </list.item>
                    </list>
                    <para>
                      <paratext>
                        If there is no restriction against sub-sales, the Buyer may enter into a sale contract with a third party and could require the Seller to transfer the Property directly to the sub-buyer, with the original Buyer joining in as a party to satisfy the Land Registry that there has been a sub-sale. For more information, see 
                        <link anchor="a230213" href="0-522-4759" style="ACTLinkPLCtoPLC">
                          <ital>Standard clause, Transfers: provisions where there is a sub-sale: Drafting note: How to enter details of the parties</ital>
                        </link>
                        .
                      </paratext>
                    </para>
                    <para>
                      <paratext>Provided that the conditions for SDLT sub-sale relief are met, this approach should mean that SDLT is only payable by the sub-buyer and relief is available for the intermediate transfer between the Seller and the Buyer.</paratext>
                    </para>
                    <para>
                      <paratext>
                        For more information, see 
                        <link href="6-547-4547" style="ACTLinkPLCtoPLC">
                          <ital>Practice notes, SDLT: sub-sales and other transfers of rights</ital>
                        </link>
                        .
                      </paratext>
                    </para>
                    <para>
                      <paratext>
                        Depending on the Buyer's circumstances, the restrictions on a sub-sale and SCPC 1.4 may be unacceptable to the Buyer, and the Buyer may need them to be amended or deleted. 
                        <bold>If there is to be a sub-sale, amendments will be needed to the clause dealing with the transfer</bold>
                         (see 
                        <internal.reference refid="a837936">clause 10</internal.reference>
                        ).
                      </paratext>
                    </para>
                  </division>
                </division>
              </division>
            </drafting.note>
            <subclause1 id="a265189">
              <identifier>2.1</identifier>
              <para>
                <paratext>The Seller shall sell and the Buyer shall buy the Property [and [Contents and Chattels,] [Livestock,] [and] [Plant, Equipment and Machinery]], for the Purchase Price on the terms of this contract.</paratext>
              </para>
            </subclause1>
            <subclause1 condition="optional" id="a426273">
              <identifier>2.2</identifier>
              <para>
                <paratext>The Purchase Price shall be apportioned:</paratext>
              </para>
              <subclause2 id="a343414">
                <identifier>(a)</identifier>
                <para>
                  <paratext>as to the Property the sum of £[NUMBER];</paratext>
                </para>
              </subclause2>
              <subclause2 condition="optional" id="a292807">
                <identifier>(b)</identifier>
                <para>
                  <paratext>as to the Livestock the sum of £[NUMBER];</paratext>
                </para>
              </subclause2>
              <subclause2 id="a185468">
                <identifier>(c)</identifier>
                <para>
                  <paratext>[as to the Contents and Chattels the sum of £[NUMBER];]</paratext>
                </para>
              </subclause2>
              <subclause2 id="a311672">
                <identifier>(d)</identifier>
                <para>
                  <paratext>
                    [as to the Plant, Equipment and Machinery the sum of £[NUMBER] 
                    <bold>OR </bold>
                    as to the Plant, Equipment and Machinery that is not Fixed Plant the sum of £[NUMBER] and to Plant, Equipment and Machinery that is Fixed Plant the sum of £[NUMBER].]
                  </paratext>
                </para>
                <drafting.note id="a855751" jurisdiction="">
                  <head align="left" preservecase="true">
                    <headtext>Purchase Price apportioned to Plant, Equipment and Machinery (optional clause)</headtext>
                  </head>
                  <division id="a000041" level="1">
                    <para>
                      <paratext>
                        The first option in 
                        <internal.reference refid="a311672">clause 2.2(d)</internal.reference>
                         refers to all the Plant, Equipment and Machinery included in the sale and listed in 
                        <internal.reference refid="a897440">Schedule 5</internal.reference>
                        . There is a separate definition of Fixed Plant in 
                        <internal.reference refid="a98056">Schedule 8</internal.reference>
                         for the purposes of a capital allowances election. The amount that the parties decide to fix by the election might differ from the amount apportioned to Plant, Equipment and Machinery in 
                        <internal.reference refid="a311672">clause 2.2(d)</internal.reference>
                        , as some of the Plant, Equipment and Machinery included in the sale might not constitute fixtures on which capital allowances are available.
                      </paratext>
                    </para>
                    <para>
                      <paratext>
                        The second option in 
                        <internal.reference refid="a311672">clause 2.2(d)</internal.reference>
                         provides for separate apportionments between the Plant, Equipment and Machinery that are fixtures and that are not fixtures. As SDLT are not chargeable on the amount of the Purchase Price that is justly and reasonably apportioned to chattels, this separation may assist in providing evidence to HMRC of the apportionment to items that are not fixtures.
                      </paratext>
                    </para>
                  </division>
                </drafting.note>
              </subclause2>
            </subclause1>
            <subclause1 id="a519187">
              <identifier>2.3</identifier>
              <para>
                <paratext>The Seller warrants that, as regards the [Contents and Chattels,] [Livestock,] [and] [Plant, Equipment and Machinery]:</paratext>
              </para>
              <subclause2 id="a577272">
                <identifier>(a)</identifier>
                <para>
                  <paratext>the Seller has good and marketable title to each of them;</paratext>
                </para>
              </subclause2>
              <subclause2 id="a763534">
                <identifier>(b)</identifier>
                <para>
                  <paratext>each of them is legally and beneficially owned by the Seller; and</paratext>
                </para>
              </subclause2>
              <subclause2 id="a332312">
                <identifier>(c)</identifier>
                <para>
                  <paratext>
                    with the exception of any relevant matters in 
                    <internal.reference refid="a542904">clause 9.1</internal.reference>
                     that affect them, there are no Encumbrances over any of them and the Seller has not agreed to create any Encumbrances over them or any part of them.
                  </paratext>
                </para>
                <drafting.note id="a84368" jurisdiction="">
                  <head align="left" preservecase="true">
                    <headtext>Seller's warranties in relation to assets other than Property</headtext>
                  </head>
                  <division id="a000042" level="1">
                    <para>
                      <paratext>
                        <internal.reference refid="a519187">clause 2.3</internal.reference>
                         contains warranties by the Seller about their ability to sell the assets. It does not refer to the Property, as title to the Property is dealt with in 
                        <internal.reference refid="a585629">clause 8</internal.reference>
                         and incumbrances on the Property are covered in 
                        <internal.reference refid="a557630">clause 9</internal.reference>
                        . The Seller gives an acknowledgement about the condition of the Property in 
                        <internal.reference refid="a667035">clause 16</internal.reference>
                        , and 
                        <internal.reference refid="a694450">clause 13.1(b)</internal.reference>
                         deals with the condition of other assets.
                      </paratext>
                    </para>
                  </division>
                </drafting.note>
              </subclause2>
            </subclause1>
            <subclause1 condition="optional" id="a920133">
              <identifier>2.4</identifier>
              <para>
                <paratext>
                  Timber growing on the Property at the date of this contract [and crops growing on the Property at the time of completion] [is 
                  <bold>OR</bold>
                   are] included in the sale.
                </paratext>
              </para>
              <drafting.note id="a538458" jurisdiction="">
                <head align="left" preservecase="true">
                  <headtext>Timber and growing crops</headtext>
                </head>
                <division id="a000043" level="1">
                  <para>
                    <paratext>
                      If the Seller is to have rights of holdover under 
                      <internal.reference refid="a231808">clause 18</internal.reference>
                       that reserve growing crops to the Seller and exclude them from the sale, amend or delete the reference to growing crops in 
                      <internal.reference refid="a920133">clause 2.4</internal.reference>
                       as appropriate (see 
                      <internal.reference refid="a458914">Drafting note, Holdover (optional clause)</internal.reference>
                      ).
                    </paratext>
                  </para>
                  <para>
                    <paratext>
                      In a contract for the sale of land that includes growing crops, the Buyer may want to specify in the contract that the growing crops are intended to pass with the land. Crops that are growing on the land at the time of completion will not necessarily pass automatically with the land. In general, trees and other vegetation are regarded as land, including timber, fruit crops and grass. However, the law distinguishes between these natural growing crops (
                      <ital>fructus naturales</ital>
                      ) and agricultural crops produced in an annual cycle of labour (
                      <ital>fructus industriales</ital>
                       or industrial growing crops), such as wheat. In law, these industrial growing crops are generally regarded as chattels. In practice, they are not usually defined as chattels in the sale contract, so the option to refer to them in 
                      <internal.reference refid="a920133">clause 2.4</internal.reference>
                       makes it clear for the avoidance of doubt that they are included in the sale.
                    </paratext>
                  </para>
                </division>
              </drafting.note>
            </subclause1>
            <subclause1 id="a685806">
              <identifier>2.5</identifier>
              <para>
                <paratext>The Buyer cannot require the Seller to:</paratext>
              </para>
              <subclause2 id="a158376">
                <identifier>(a)</identifier>
                <para>
                  <paratext>transfer the Property or any part of it to any person other than the Buyer;</paratext>
                </para>
              </subclause2>
              <subclause2 id="a271826">
                <identifier>(b)</identifier>
                <para>
                  <paratext>transfer the Property in more than one parcel or by more than one transfer; or</paratext>
                </para>
              </subclause2>
              <subclause2 id="a197056">
                <identifier>(c)</identifier>
                <para>
                  <paratext>apportion the Purchase Price between different parts of the Property.</paratext>
                </para>
              </subclause2>
            </subclause1>
          </clause>
          <clause id="a421364">
            <identifier>3.</identifier>
            <head align="left" preservecase="true">
              <headtext>Conditions</headtext>
            </head>
            <drafting.note id="a553352" jurisdiction="">
              <head align="left" preservecase="true">
                <headtext>Conditions</headtext>
              </head>
              <division id="a000044" level="1">
                <para>
                  <paratext>The SCPC are divided into two parts:</paratext>
                </para>
                <list type="bulleted">
                  <list.item>
                    <para>
                      <paratext>Part 1 Conditions, 1-12, which apply except as varied or excluded by the contract.</paratext>
                    </para>
                  </list.item>
                  <list.item>
                    <para>
                      <paratext>Part 2 Conditions, A-C, which apply only if expressly incorporated into the contract.</paratext>
                    </para>
                  </list.item>
                </list>
                <para>
                  <paratext>
                    For a detailed analysis of each of the conditions in the SCPC and guidance on what amendments the seller and the buyer may wish to consider, see 
                    <link href="2-107-3787" style="ACTLinkPLCtoPLC">
                      <ital>Practice note, Standard Commercial Property Conditions</ital>
                    </link>
                    . Not all of these standard conditions are appropriate for the sale of agricultural land, such as Condition c relates to reversionary interests in flats.
                  </paratext>
                </para>
                <division id="a727971" level="2">
                  <head align="left" preservecase="true">
                    <headtext>Excluding SCPC 1.1.4(a)</headtext>
                  </head>
                  <para>
                    <paratext>
                      The SCPC provide that the Part 1 Conditions apply except as varied or excluded by the contract (
                      <ital>SCPC 1.1.4(a)</ital>
                      ). However, the SCPC do not expressly state what happens if there is an inconsistency between the contract and the SCPC and the relevant condition of the SCPC has not been expressly excluded or varied. To address this issue, the standard document excludes SCPC 1.1.4(a) and restates it in a modified form, making it clear that the Part 1 Conditions apply:
                    </paratext>
                  </para>
                  <list type="bulleted">
                    <list.item>
                      <para>
                        <paratext>Except as modified or excluded.</paratext>
                      </para>
                    </list.item>
                    <list.item>
                      <para>
                        <paratext>To the extent that they are not inconsistent with the terms of the contract.</paratext>
                      </para>
                    </list.item>
                  </list>
                </division>
                <division id="a1014356" level="2">
                  <head align="left" preservecase="true">
                    <headtext>Modifying and excluding Part 1 Conditions</headtext>
                  </head>
                  <para>
                    <paratext>A number of SCPC are modified or excluded in the document. Where a Condition has been modified or excluded, this is dealt with in the clause to which the particular Condition relates.</paratext>
                  </para>
                </division>
                <division id="a1007720" level="2">
                  <head align="left" preservecase="true">
                    <headtext>Excluding Part 2 Conditions</headtext>
                  </head>
                  <para>
                    <paratext>
                      According to the SCPC, the Part 2 Conditions can only apply if expressly incorporated. The document expressly states that the Part 2 Conditions are 
                      <bold>not</bold>
                       incorporated:
                    </paratext>
                  </para>
                  <list type="bulleted">
                    <list.item>
                      <para>
                        <paratext>For clarification.</paratext>
                      </para>
                    </list.item>
                    <list.item>
                      <para>
                        <paratext>So that the clause can readily be amended if the parties decide to incorporate one or more of the Part 2 Conditions.</paratext>
                      </para>
                      <para>
                        <paratext>For example, the parties may wish to amend the clause to read:</paratext>
                      </para>
                      <para>
                        <paratext>"SCPC [B] is incorporated in this contract, but SCPC [A] and [C] are not incorporated in this contract".</paratext>
                      </para>
                    </list.item>
                  </list>
                  <para>
                    <paratext>The Part 2 Conditions (Conditions A–C) relate to:</paratext>
                  </para>
                  <list type="bulleted">
                    <list.item>
                      <para>
                        <paratext>VAT. -Condition A</paratext>
                      </para>
                      <para>
                        <paratext>
                          For more information see 
                          <link href="w-007-9109" style="ACTLinkPLCtoPLC">
                            <ital>Practice note, SCPC A: VAT (Standard Commercial Property Conditions, Third Edition – 2018 Revision)</ital>
                          </link>
                          .
                        </paratext>
                      </para>
                    </list.item>
                  </list>
                  <list type="bulleted">
                    <list.item>
                      <para>
                        <paratext>Capital allowances. Condition B</paratext>
                      </para>
                      <para>
                        <paratext>
                          The buyer may wish to incorporate SCPC B in the contract or insert optional 
                          <internal.reference refid="a333383">clause 15</internal.reference>
                           and 
                          <internal.reference refid="a98056">Schedule 8</internal.reference>
                          .
                        </paratext>
                      </para>
                      <para>
                        <paratext>Capital allowances should be considered where there are plant or machinery fixtures. The Buyer may claim plant and machinery allowances on expenditure that is apportioned to plant and machinery fixtures. The expenditure on which the Buyer may claim allowances cannot exceed the disposal value that is brought into account by the Seller or a previous owner since 24 July 1996. Further, allowances are only available if the pooling requirement and the fixed value requirement are satisfied, if they apply. It is important for the Buyer to ascertain information about the plant and machinery fixtures from the Seller. This information may be apparent from replies to pre-contract enquiries about capital allowances. For more information on capital allowances, see Practice notes:</paratext>
                      </para>
                      <list type="bulleted">
                        <list.item>
                          <para>
                            <paratext>
                              <link href="w-007-9006" style="ACTLinkPLCtoPLC">
                                <ital>SCPC B: Capital allowances (Standard Commercial Property Conditions, Third Edition – 2018 Revision)</ital>
                              </link>
                              <ital>.</ital>
                            </paratext>
                          </para>
                        </list.item>
                        <list.item>
                          <para>
                            <paratext>
                              <link href="7-575-0610" style="ACTLinkPLCtoPLC">
                                <ital>Replying to CPSE.1 Enquiry 32 on capital allowances</ital>
                              </link>
                              .
                            </paratext>
                          </para>
                        </list.item>
                        <list.item>
                          <para>
                            <paratext>
                              <link href="w-031-3715" style="ACTLinkPLCtoPLC">
                                <ital>Practice note, Capital allowances: fixtures in buildings and on land</ital>
                              </link>
                              .
                            </paratext>
                          </para>
                        </list.item>
                      </list>
                    </list.item>
                  </list>
                </division>
              </division>
            </drafting.note>
            <subclause1 id="a482861">
              <identifier>3.1</identifier>
              <para>
                <paratext>The Part 1 Conditions are incorporated in this contract so far as they:</paratext>
              </para>
              <subclause2 id="a767212">
                <identifier>(a)</identifier>
                <para>
                  <paratext>apply to a sale by private treaty;</paratext>
                </para>
              </subclause2>
              <subclause2 id="a179739">
                <identifier>(b)</identifier>
                <para>
                  <paratext>relate to freehold property;</paratext>
                </para>
              </subclause2>
              <subclause2 id="a207738">
                <identifier>(c)</identifier>
                <para>
                  <paratext>are not inconsistent with the other clauses in this contract; and</paratext>
                </para>
              </subclause2>
              <subclause2 id="a389320">
                <identifier>(d)</identifier>
                <para>
                  <paratext>have not been modified or excluded by any of the other clauses in this contract.</paratext>
                </para>
              </subclause2>
            </subclause1>
            <subclause1 id="a202170">
              <identifier>3.2</identifier>
              <para>
                <paratext>The terms used in this contract have the same meaning when used in the Part 1 Conditions.</paratext>
              </para>
            </subclause1>
            <subclause1 id="a491423">
              <identifier>3.3</identifier>
              <para>
                <paratext>The following Conditions are amended:</paratext>
              </para>
              <subclause2 id="a198634">
                <identifier>(a)</identifier>
                <para>
                  <paratext>Condition 1.1.1(d) is amended so that reference to the completion date in Condition 1.1.1(d) refers instead to the Completion Date as defined in this contract.</paratext>
                </para>
              </subclause2>
              <subclause2 id="a221233">
                <identifier>(b)</identifier>
                <para>
                  <paratext>Condition 1.1.1(e) is amended so that reference to the contract rate in Condition 1.1.1(e) refers instead to the Contract Rate as defined in this contract.</paratext>
                </para>
              </subclause2>
              <subclause2 id="a175732">
                <identifier>(c)</identifier>
                <para>
                  <paratext>Condition 1.1.1(o) is amended so that reference to VAT in Condition 1.1.1(o) refers instead to VAT as defined in this contract.</paratext>
                </para>
              </subclause2>
              <subclause2 id="a246751">
                <identifier>(d)</identifier>
                <para>
                  <paratext>
                    Condition 7.6.3 is amended so that reference to "Condition 4.1.2" is reference to "
                    <internal.reference refid="a557630">Clause 9</internal.reference>
                    ".
                  </paratext>
                </para>
              </subclause2>
            </subclause1>
            <subclause1 id="a774951">
              <identifier>3.4</identifier>
              <para>
                <paratext>Condition 1.1.4(a) does not apply to this contract.</paratext>
              </para>
            </subclause1>
            <subclause1 condition="optional" id="a427108">
              <identifier>3.5</identifier>
              <para>
                <paratext>Condition 9.2.1 does not apply to this contract.</paratext>
              </para>
              <drafting.note id="a241417" jurisdiction="">
                <head align="left" preservecase="true">
                  <headtext>Exclusion of SCPC 9.2.1 (optional clause)</headtext>
                </head>
                <division id="a000045" level="1">
                  <para>
                    <paratext>SCPC 9.2.1 states that the buyer’s conveyancer and the seller’s conveyancer are to co-operate in agreeing arrangements for completing the contract.</paratext>
                  </para>
                  <para>
                    <paratext>While SCPC 9.2.1 seems useful, it does not detail what would amount to co-operation, or a lack of co-operation, and that uncertainty may increase the risk of a dispute over SCPC 9.2.1. In addition, the seller and buyer may be unwilling to contractually agree how their conveyancers will behave and the conveyancers themselves may be unwilling to accept this obligation. The standard document therefore provides the option to delete SCPC 9.2.1 from the contract.</paratext>
                  </para>
                  <para>
                    <paratext>If SCPC 9.2.1 is retained, the client should be advised before exchange not to instruct their conveyancer to act in a way that may conflict with SCPC 9.2.1. Conveyancers may therefore want to obtain their client’s express instructions before retaining SCPC 9.2.1.</paratext>
                  </para>
                </division>
              </drafting.note>
            </subclause1>
            <subclause1 id="a573833">
              <identifier>3.6</identifier>
              <para>
                <paratext>The Part 2 Conditions are not incorporated into this contract.</paratext>
              </para>
            </subclause1>
          </clause>
          <clause id="a346595">
            <identifier>4.</identifier>
            <head align="left" preservecase="true">
              <headtext>Risk and insurance</headtext>
            </head>
            <drafting.note id="a72544" jurisdiction="">
              <head align="left" preservecase="true">
                <headtext>Risk and insurance</headtext>
              </head>
              <division id="a000046" level="1">
                <para>
                  <paratext>
                    This clause is concerned with insurance of the Property, not with crops, machinery, equipment, livestock or anything else on the Property. The Buyer should insure any chattels included in the sale as from the date of exchange of contracts (see 
                    <internal.reference refid="a146578">Drafting note, Contents</internal.reference>
                    ).
                  </paratext>
                </para>
                <para>
                  <paratext>This clause:</paratext>
                </para>
                <list type="bulleted">
                  <list.item>
                    <para>
                      <paratext>Provides that with effect from exchange of contracts, the Property will be at the Buyer's risk. This follows the open contract rule and SCPC 8.1. It is for the Buyer to ensure that, as from exchange of contracts, the Property is insured in the Buyer's name.</paratext>
                    </para>
                  </list.item>
                  <list.item>
                    <para>
                      <paratext>Provides that the Buyer will not be entitled to any reduction in the Purchase Price or to refuse to complete or to delay completion by reason of any damage caused to the Property, any deterioration in its condition, or indeed the total destruction of the Property.</paratext>
                    </para>
                  </list.item>
                  <list.item>
                    <para>
                      <paratext>Excludes SCPC 8.2.2, SCPC 8.2.3 and SCPC 8.2.4(b).</paratext>
                    </para>
                  </list.item>
                </list>
                <para>
                  <paratext>The fact that the risk in the Property passes to the Buyer on exchange of contracts does not mean that the Seller is not entitled to insure during the period between exchange and completion. The prudent seller will continue to insure the Property during this period. The Seller should continue to insure to protect itself:</paratext>
                </para>
                <list type="bulleted">
                  <list.item>
                    <para>
                      <paratext>From a potential claim from the Buyer for damage occurring to the Property as a consequence of the Seller's breach of fiduciary duties in the period between exchange and completion.</paratext>
                    </para>
                  </list.item>
                  <list.item>
                    <para>
                      <paratext>In the event that the Buyer fails to complete: Although the Buyer is contractually bound to complete it may not do so in fact and even if it fails to do so unlawfully, the Buyer may not be financially worth pursuing.</paratext>
                    </para>
                  </list.item>
                </list>
                <para>
                  <paratext>Both the Seller and Buyer have separate insurable interests in the property between exchange and completion, and therefore each can insure the Property: this should not be double insurance, but both parties should ensure that there are no conflicting terms in their respective insurance policies. In the event of damage occurring between exchange and completion, a claim may be made by both, although neither can recover more than its actual loss.</paratext>
                </para>
                <para>
                  <paratext>
                    SCPC 8.2.2 and SCPC 8.2.3 are disapplied because they anticipate the Seller insuring the Property and not the Buyer. Technically it is not necessary to disapply these conditions because they would only apply if the contract provided that the Seller were to insure or if the property were let on terms which required the Seller to insure (as landlord or tenant) (see 
                    <link anchor="a770540" href="w-007-9234" style="ACTLinkPLCtoPLC">
                      <ital>Practice note, SCPC 8: Risk and Insurance (Standard Commercial Property Conditions, Third Edition – 2018 Revision): Seller's responsibility</ital>
                    </link>
                    ).
                  </paratext>
                </para>
                <para>
                  <paratext>SCPC 8.2.4(b) is disapplied because it provides that the Purchase Price to be paid to the Seller can be reduced if the Property has been insured by both the Seller and the Buyer and the Buyer makes a claim under its insurance and the insurance money paid out to the Buyer is reduced because of the Seller's insurance.</paratext>
                </para>
                <para>
                  <paratext>For more information, see Practice notes:</paratext>
                </para>
                <list type="bulleted">
                  <list.item>
                    <para>
                      <paratext>
                        <link href="3-203-9754" style="ACTLinkPLCtoPLC">
                          <ital>Insurance contract law: general principles</ital>
                        </link>
                      </paratext>
                    </para>
                  </list.item>
                  <list.item>
                    <para>
                      <paratext>
                        <link href="9-107-4241" style="ACTLinkPLCtoPLC">
                          <ital>Property insurance</ital>
                        </link>
                        .
                      </paratext>
                    </para>
                  </list.item>
                </list>
              </division>
            </drafting.note>
            <subclause1 id="a707169">
              <identifier>4.1</identifier>
              <para>
                <paratext>With effect from exchange of this contract, the Property is at the Buyer’s risk and the Seller is under no obligation to the Buyer to insure the Property.</paratext>
              </para>
            </subclause1>
            <subclause1 id="a94288">
              <identifier>4.2</identifier>
              <para>
                <paratext>No damage to or destruction of the Property nor any deterioration in its condition, however caused, shall entitle the Buyer either to any reduction of the Purchase Price or to refuse to complete or to delay completion.</paratext>
              </para>
            </subclause1>
            <subclause1 id="a464089">
              <identifier>4.3</identifier>
              <para>
                <paratext>
                  Conditions 8.2.2, 8.2.3 and 8.2.4(b) do not apply to this 
                  <bold>contract</bold>
                  .
                </paratext>
              </para>
            </subclause1>
          </clause>
          <clause id="a354685">
            <identifier>5.</identifier>
            <head align="left" preservecase="true">
              <headtext>Deposit</headtext>
            </head>
            <drafting.note id="a880791" jurisdiction="">
              <head align="left" preservecase="true">
                <headtext>Deposit</headtext>
              </head>
              <division id="a000047" level="1">
                <para>
                  <paratext>
                    For information on the issues to consider when drafting and negotiating this clause, see
                    <ital> </ital>
                    <link href="w-008-0862" style="ACTLinkPLCtoPLC">
                      <ital>Practice note, Property contracts: deposits (SCPC (Third Edition - 2018 Revision) and SCS (Fifth Edition - 2018 Revision))</ital>
                    </link>
                    .
                  </paratext>
                </para>
                <para>
                  <paratext>
                    <bold>Amendments</bold>
                  </paratext>
                </para>
                <para>
                  <paratext>Amendments will be required to this clause if:</paratext>
                </para>
                <list type="bulleted">
                  <list.item>
                    <para>
                      <paratext>The seller wants the deposit to be paid to the seller's conveyancer as agent.</paratext>
                    </para>
                  </list.item>
                </list>
                <para>
                  <paratext>The buyer is to receive any interest accruing on the deposit at completion. This will be a matter for the parties to negotiate and how it is resolved will be a matter of relative bargaining strength.:</paratext>
                </para>
                <list type="bulleted">
                  <list.item>
                    <para>
                      <paratext>SCPC 3.2.1 and 3.2.2 are excluded for the sake of clarity.</paratext>
                    </para>
                  </list.item>
                  <list.item>
                    <para>
                      <paratext>so that the amount of the deposit is clear on the face of the contract.</paratext>
                    </para>
                  </list.item>
                </list>
                <para>
                  <paratext>
                    <bold>Payment of the balance of the deposit</bold>
                  </paratext>
                </para>
                <para>
                  <paratext>If no deposit is being paid, or the deposit is less than 10% of the Purchase Price, the contract should provide for the deposit to be made up to 10% if the Buyer fails to complete on the Completion Date.</paratext>
                </para>
                <para>
                  <paratext>
                    SCPC 9.8.3 is excluded because 
                    <internal.reference refid="a974009">Clause 5.4</internal.reference>
                     to 
                    <internal.reference refid="a276891">Clause 5.8</internal.reference>
                     expressly require the buyer to pay the deposit balance 
                    <bold>immediately</bold>
                     if completion does not occur due to the buyer's default. Whilst this is similar to SCPC 9.8.3, the requirement to top up the deposit in SCPC 9.8.3 is dependent on the buyer receiving a notice to complete (see 
                    <link anchor="a169675" href="w-007-9013" style="ACTLinkPLCtoPLC">
                      <ital>Practice note, SCPC 9: Completion (Standard Commercial Property Conditions, Third Edition – 2018 Revision): Notice to complete (SCPC 9.8)</ital>
                    </link>
                    ). There may be circumstances where the seller is unable to serve a notice to complete but still requires the deposit to be topped up.
                  </paratext>
                </para>
                <para>
                  <paratext>
                    There is no need to delete 
                    <internal.reference refid="a974009">clause 5.4</internal.reference>
                     to 
                    <internal.reference refid="a276891">clause 5.8</internal.reference>
                     if the deposit is in fact 10% of the Purchase Price. The clauses are worded to avoid unnecessary redrafting where the amount of deposit is reduced in negotiations just before exchange takes place. For more information, see
                    <ital> </ital>
                    <link anchor="a321766" href="w-008-0862" style="ACTLinkPLCtoPLC">
                      <ital>Practice note, Property contracts: deposits (SCPC (Third Edition - 2018 Revision) and SCS (Fifth Edition - 2018 Revision)): Payment of the balance of the deposit</ital>
                    </link>
                    .
                  </paratext>
                </para>
              </division>
            </drafting.note>
            <subclause1 id="a151740">
              <identifier>5.1</identifier>
              <para>
                <paratext>
                  On the date of this 
                  <bold>contract</bold>
                  , the Buyer shall pay the Deposit to the Seller's Conveyancer to be held by the Seller's Conveyancer as stakeholder on terms that on completion the Deposit is paid to the Seller with accrued interest.
                </paratext>
              </para>
            </subclause1>
            <subclause1 id="a760575">
              <identifier>5.2</identifier>
              <para>
                <paratext>The Deposit must be paid by Electronic Payment.</paratext>
              </para>
            </subclause1>
            <subclause1 id="a307666">
              <identifier>5.3</identifier>
              <para>
                <paratext>Conditions 3.2.1, 3.2.2 and 9.8.3 do not apply to this contract.</paratext>
              </para>
            </subclause1>
            <subclause1 id="a974009">
              <identifier>5.4</identifier>
              <para>
                <paratext>
                  The provisions of 
                  <internal.reference refid="a944391">clause 5.5</internal.reference>
                   to 
                  <internal.reference refid="a276891">clause 5.8</internal.reference>
                   (inclusive) will only apply if:
                </paratext>
              </para>
              <subclause2 id="a1015783">
                <identifier>(a)</identifier>
                <para>
                  <paratext>the Deposit is less than 10% of the Purchase Price; or</paratext>
                </para>
              </subclause2>
              <subclause2 id="a424549">
                <identifier>(b)</identifier>
                <para>
                  <paratext>no Deposit is payable on the date of this contract.</paratext>
                </para>
              </subclause2>
            </subclause1>
            <subclause1 id="a944391">
              <identifier>5.5</identifier>
              <para>
                <paratext>
                  In this clause, the expression 
                  <defn.term>Deposit Balance</defn.term>
                   means:
                </paratext>
              </para>
              <subclause2 id="a384863">
                <identifier>(a)</identifier>
                <para>
                  <paratext>(where the Deposit is less than 10% of the Purchase Price) the sum calculated by deducting the Deposit from 10% of the Purchase Price; or</paratext>
                </para>
              </subclause2>
              <subclause2 id="a269642">
                <identifier>(b)</identifier>
                <para>
                  <paratext>(where no Deposit is payable on the date of this contract) a sum equal to 10% of the Purchase Price.</paratext>
                </para>
              </subclause2>
            </subclause1>
            <subclause1 id="a661309">
              <identifier>5.6</identifier>
              <para>
                <paratext>
                  If completion does not take place on the Completion Date due to the default of the Buyer, the Buyer will immediately pay to the Seller's Conveyancer the Deposit Balance (together with interest on it at the 
                  <bold>Contract Rate</bold>
                   for the period from and including the Completion Date to and including the date of actual payment) by Electronic Payment.
                </paratext>
              </para>
            </subclause1>
            <subclause1 id="a483378">
              <identifier>5.7</identifier>
              <para>
                <paratext>
                  After the Deposit Balance has been paid pursuant to 
                  <internal.reference refid="a661309">clause 5.6</internal.reference>
                  , it will be treated as forming part of the Deposit for all purposes of this contract.
                </paratext>
              </para>
            </subclause1>
            <subclause1 id="a276891">
              <identifier>5.8</identifier>
              <para>
                <paratext>
                  The provisions of 
                  <internal.reference refid="a944391">clause 5.5</internal.reference>
                  , 
                  <internal.reference refid="a661309">clause 5.6</internal.reference>
                   and 
                  <internal.reference refid="a483378">clause 5.7</internal.reference>
                   (inclusive) are without prejudice to any other rights or remedies of the Seller in relation to any delay in completion.
                </paratext>
              </para>
            </subclause1>
          </clause>
          <clause id="a934068">
            <identifier>6.</identifier>
            <head align="left" preservecase="true">
              <headtext>Deducing title</headtext>
            </head>
            <drafting.note id="a189818" jurisdiction="">
              <head align="left" preservecase="true">
                <headtext>Deducing title</headtext>
              </head>
              <division id="a000048" level="1">
                <para>
                  <paratext>The document is drafted on the assumption that title will be deduced and investigated before contracts are exchanged. As the responsibility for carrying out a full investigation is on the Buyer to complete before contracts are exchanged, the Buyer is deemed to have full knowledge of the title and is not entitled after exchange of contracts to raise any objection, enquiry or requisition in relation to the title.</paratext>
                </para>
                <para>
                  <paratext>The approach to deduction of title taken in the SCPC is different, and therefore SCPC 7.1, 7.2. 7.3.1 and 7.4.2 are excluded from the contract.</paratext>
                </para>
                <para>
                  <paratext>For more information, see Practice notes:</paratext>
                </para>
                <list type="bulleted">
                  <list.item>
                    <para>
                      <paratext>
                        <link href="9-107-3982" style="ACTLinkPLCtoPLC">
                          <ital>Deducing title</ital>
                        </link>
                        <ital>.</ital>
                      </paratext>
                    </para>
                  </list.item>
                  <list.item>
                    <para>
                      <paratext>
                        <link href="w-008-0844" style="ACTLinkPLCtoPLC">
                          <ital>Property contracts: entire agreement and exclusion of representations (SCPC (Third Edition - 2018 Revision) and SCS (Fifth Edition - 2018 Revision))</ital>
                        </link>
                        <ital>.</ital>
                      </paratext>
                    </para>
                  </list.item>
                </list>
              </division>
            </drafting.note>
            <subclause1 id="a944749">
              <identifier>6.1</identifier>
              <para>
                <paratext>
                  [The Seller's title to the Property has been deduced to the Buyer's Conveyancer before the date of this contract.] 
                  <bold>OR</bold>
                   [The Seller's title to the Property has been deduced to the Buyer's Conveyancer before the date of this contract and commences with [NAME OF ROOT DOCUMENT]. The documents of title are listed in 
                  <internal.reference refid="a335094">Schedule 3</internal.reference>
                   and copies have been given to the Buyer's Conveyancer.]
                </paratext>
              </para>
              <drafting.note id="a741721" jurisdiction="">
                <head align="left" preservecase="true">
                  <headtext>Registered or unregistered property</headtext>
                </head>
                <division id="a000049" level="1">
                  <para>
                    <paratext>
                      <internal.reference refid="a944749">clause 6.1</internal.reference>
                       provides alternative wording, the choice depending on whether the Buyer needs copies of title documents from the Seller to complete its title investigation.
                    </paratext>
                  </para>
                  <list type="bulleted">
                    <list.item>
                      <para>
                        <paratext>
                          The first alternative set of wording can be used if the property is registered. If the property is registered, there is no obligation on the seller to deduce title under the 
                          <link href="1-507-2345" style="ACTLinkPLCtoPLC">
                            <ital>Land Registration Act 2002</ital>
                          </link>
                          . Deduction of title is a matter for the parties to agree, but it may be that not all the documents the buyer needs to be satisfied on title can be obtained from the Land Registry. The buyer may need to obtain these from the seller, in which case it may be appropriate to list them in a schedule to the contract. If this is so, the necessary wording can be taken from the second alternative set of wording.
                        </paratext>
                      </para>
                    </list.item>
                    <list.item>
                      <para>
                        <paratext>
                          If the property is unregistered, the second alternative wording should be used and the root document of title identified. Although not necessary, it is a convenient practice to list the documents of title from the epitome in a schedule to the contract, or to annex the epitome to the contract (see 
                          <link href="5-383-5260" style="ACTLinkPLCtoPLC">
                            <ital>Standard document, Epitome of title</ital>
                          </link>
                          ). This practice:
                        </paratext>
                      </para>
                      <list type="bulleted">
                        <list.item>
                          <para>
                            <paratext>Focuses attention on what documents of title the seller has, and what information has been given to the buyer.</paratext>
                          </para>
                        </list.item>
                        <list.item>
                          <para>
                            <paratext>Provides a useful list that can be referred to in connection with rights, incumbrances, and further obligations.</paratext>
                          </para>
                        </list.item>
                      </list>
                    </list.item>
                  </list>
                </division>
              </drafting.note>
              <drafting.note id="a149398" jurisdiction="">
                <head align="left" preservecase="true">
                  <headtext>Originals of documents to be handed over on completion</headtext>
                </head>
                <division id="a000050" level="1">
                  <para>
                    <paratext>
                      On completion, the Seller will have to hand to the Buyer the originals of all documents of title. If an original cannot be handed over (because, for example, it has been retained following a sale of part), the Seller must be able to produce a written acknowledgment of the buyer's right to production of the document and a written undertaking for its safe custody (SCPC 7.6.6) (see 
                      <link anchor="a196374" href="w-007-9162" style="ACTLinkPLCtoPLC">
                        <ital>Practice note, SCPC 7: Title and transfer (Standard Commercial Property Conditions, Third Edition – 2018 Revision): Transfer (SCPC 7.6)</ital>
                      </link>
                      ).
                    </paratext>
                  </para>
                  <para>
                    <paratext>
                      If appropriate, the contract will need to be amended to include an express provision dealing with missing documents and documents where copies only are available (for an example, see 
                      <link anchor="a101661" href="w-008-5453" style="ACTLinkPLCtoPLC">
                        <ital>Standard document, Contract for the sale of freehold land subject to lease (incorporating the Standard Commercial Property Conditions (Third Edition – 2018 Revision)): Clause 6.4</ital>
                      </link>
                      ).
                    </paratext>
                  </para>
                </division>
              </drafting.note>
            </subclause1>
            <subclause1 condition="optional" id="a72017">
              <identifier>6.2</identifier>
              <para>
                <paratext>
                  The Seller has [no title 
                  <bold>OR</bold>
                   possessory title only] to that part of the Property shown [hatched green] on the Plan and in respect of this part of the Property the Seller will not be obliged to deduce evidence of any title superior to that of the Seller.
                </paratext>
              </para>
              <drafting.note id="a543016" jurisdiction="">
                <head align="left" preservecase="true">
                  <headtext>No title, possessory title (optional clause)</headtext>
                </head>
                <division id="a000051" level="1">
                  <para>
                    <paratext>You should delete this clause unless the Seller cannot deduce title to part of the Property or has only possessory title to part.</paratext>
                  </para>
                </division>
              </drafting.note>
            </subclause1>
            <subclause1 id="a912705">
              <identifier>6.3</identifier>
              <para>
                <paratext>The Buyer is deemed to have full knowledge of the title and is not entitled to raise any objection, enquiry or requisition in relation to it.</paratext>
              </para>
              <drafting.note id="a344442" jurisdiction="">
                <head align="left" preservecase="true">
                  <headtext>Requisitions on pre-completion searches</headtext>
                </head>
                <division id="a000052" level="1">
                  <para>
                    <paratext>As the Buyer will have investigated title before exchange of contracts, the document provides that the Buyer is not entitled after exchange of contracts to raise any objections, enquiries or requisitions in relation to title.</paratext>
                  </para>
                  <para>
                    <paratext>
                      The Buyer may wish to amend 
                      <internal.reference refid="a912705">clause 6.3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para>
                    <paratext>
                      For more information on this clause, see 
                      <link href="w-008-0839" style="ACTLinkPLCtoPLC">
                        <ital>Practice note, Property contracts: deducing title (SCPC (Third Edition - 2018 Revision) and SCS (Fifth Edition - 2018 Revision))</ital>
                      </link>
                      .
                    </paratext>
                  </para>
                </division>
              </drafting.note>
            </subclause1>
            <subclause1 id="a1008837">
              <identifier>6.4</identifier>
              <para>
                <paratext>Conditions 7.1, 7.2, 7.3.1 and 7.4.2 do not apply to this contract.</paratext>
              </para>
            </subclause1>
          </clause>
          <clause id="a405528">
            <identifier>7.</identifier>
            <head align="left" preservecase="true">
              <headtext>Vacant possession [and Contents]</headtext>
            </head>
            <drafting.note id="a1022447" jurisdiction="">
              <head align="left" preservecase="true">
                <headtext>Vacant possession and Contents</headtext>
              </head>
              <division id="a000053" level="1">
                <para>
                  <paratext>
                    What is meant by vacant possession and the extent of the obligation to give it, will depend on the circumstances. For information, see 
                    <link href="5-101-5748" style="ACTLinkPLCtoPLC">
                      <ital>Practice note, Selling with vacant possession</ital>
                    </link>
                    .
                  </paratext>
                </para>
                <para>
                  <paratext>The clause may require amendment to:</paratext>
                </para>
                <list type="bulleted">
                  <list.item>
                    <para>
                      <paratext>Address any specific issues that apply. For example, it may be necessary to include express provisions to deal with the removal of fixtures, the identification of any contents or chattels to be included as part of the sale, or to deal with squatters (if any).</paratext>
                    </para>
                    <para>
                      <paratext>
                        If the sale includes Contents or chattels and other assets that will remain on the Property, specify these in 
                        <internal.reference refid="a998190">clause 7.1</internal.reference>
                        .
                      </paratext>
                    </para>
                    <para>
                      <paratext>
                        Optional 
                        <internal.reference refid="a977648">clause 7.2</internal.reference>
                         deals with removal of fixtures by the Seller. If there are many fixtures, it may be better to amend the document so that the fixtures are listed in a schedule to the contract.
                      </paratext>
                    </para>
                  </list.item>
                </list>
                <list type="bulleted">
                  <list.item>
                    <para>
                      <paratext>
                        Identify anything to be left in the property on completion. If the parties agree that any items will be left in the property on completion, these should be clearly identified in the contract to avoid any doubt. SCPC 12 provides that, to the extent the contract relates to contents and chattels, the sale of the contents and chattels will operate as a sale of goods and so the 
                        <link href="https://uk.practicallaw.thomsonreuters.com/1-507-2816?originationContext=document&amp;amp;transitionType=PLDocumentLink&amp;amp;contextData=(sc.Default)" style="ACTLinkURL">
                          <ital>Sale of Goods Act 1979</ital>
                        </link>
                         and the 
                        <link href="https://uk.practicallaw.thomsonreuters.com/0-606-7466?originationContext=document&amp;amp;transitionType=PLDocumentLink&amp;amp;contextData=(sc.Default)" style="ACTLinkURL">
                          <ital>Consumer Rights Act 2015</ital>
                        </link>
                         (as applicable) will apply (see 
                        <internal.reference refid="a146578">Drafting note, Contents</internal.reference>
                         and 
                        <link href="w-007-9028" style="ACTLinkPLCtoPLC">
                          <ital>Practice note, SCPC 12: Contents (Standard Commercial Property Conditions, Third Edition – 2018 Revision)</ital>
                        </link>
                        .
                      </paratext>
                    </para>
                  </list.item>
                </list>
              </division>
            </drafting.note>
            <subclause1 id="a998190">
              <identifier>7.1</identifier>
              <para>
                <paratext>The Property will be sold with vacant possession on completion [subject to the [Contents, Chattels] [Livestock,] [and] [Plant, Equipment and Machinery], which will remain in the Property].</paratext>
              </para>
            </subclause1>
            <subclause1 condition="optional" id="a977648">
              <identifier>7.2</identifier>
              <para>
                <paratext>The following fixtures and fittings on the Property are excluded from the sale and the Seller may at any time before completion remove them from the Property and the Buyer will raise no objections: [SPECIFY ITEMS].</paratext>
              </para>
            </subclause1>
          </clause>
          <clause id="a585629">
            <identifier>8.</identifier>
            <head align="left" preservecase="true">
              <headtext>Title guarantee</headtext>
            </head>
            <drafting.note id="a693917" jurisdiction="">
              <head align="left" preservecase="true">
                <headtext>Title guarantee</headtext>
              </head>
              <division id="a000054" level="1">
                <para>
                  <paratext>
                    Under the Law of Property (Miscellaneous Provisions) Act 1994 (LPMPA 1994), the use of the key phrases "full title guarantee" or "limited title guarantee" implies a set of covenants for title into the disposal instrument (in this case, the transfer). Covenants for title are assurances given by the owner of a property about ownership and the owner's right to dispose of the property. For further information on the covenants for title implied by a full or limited title guarantee, see 
                    <link href="8-101-3272" style="ACTLinkPLCtoPLC">
                      <ital>Practice note, Implied covenants for title</ital>
                    </link>
                    .
                  </paratext>
                </para>
                <division id="a612511" level="2">
                  <head align="left" preservecase="true">
                    <headtext>Full or limited guarantee</headtext>
                  </head>
                  <para>
                    <paratext>If a title guarantee is to be given, it will be given in the transfer. The standard document assumes that the Seller will transfer the Property with either a full or limited title guarantee. Broadly, full title guarantee will be appropriate where the Seller is the beneficial owner of the Property. Limited title guarantee is more appropriate where the Seller is a trustee or a personal representative.</paratext>
                  </para>
                  <para>
                    <paratext>
                      The parties may, however, agree modifications to the title guarantee as suggested in optional 
                      <internal.reference refid="a920980">clause 8.2</internal.reference>
                      .
                    </paratext>
                  </para>
                </division>
                <division id="a947677" level="2">
                  <head align="left" preservecase="true">
                    <headtext>No title guarantee</headtext>
                  </head>
                  <para>
                    <paratext>There is no obligation on the Seller to give a title guarantee and certainly no title guarantee should be given for any part of the Property to which the Seller has no apparent title or possessory title only. The document will need to be amended to reflect what the parties agree.</paratext>
                  </para>
                  <para>
                    <paratext>
                      If the Seller chooses not to give a title guarantee it is advisable for the contract to state expressly that no title guarantee is being given. This avoids the risk that a full title guarantee is given by implication under SCPC 7.6.2. In the document, SCPC 7.6.2 is excluded because it provides that if the contract is silent as to any title guarantee to be given, it is assumed that the Seller will give a full title guarantee. It is easy to overlook SCPC 7.6.2, which is why it is excluded (see 
                      <link anchor="a196374" href="w-007-9162" style="ACTLinkPLCtoPLC">
                        <ital>Practice note, SCPC 7: Title and transfer (Standard Commercial Property Conditions, Third Edition – 2018 Revision): Transfer (SCPC 7.6)</ital>
                      </link>
                      ).
                    </paratext>
                  </para>
                </division>
                <division id="a676599" level="2">
                  <head align="left" preservecase="true">
                    <headtext>Consider scope in relation to matters affecting the Property</headtext>
                  </head>
                  <para>
                    <paratext>
                      The scope of the title guarantee should be considered in 
                      <internal.reference refid="a557630">clause 9</internal.reference>
                       (Matters affecting the Property).
                    </paratext>
                  </para>
                  <para>
                    <paratext>If, for example, the Property is affected by an undisclosed incumbrance, the Buyer has potentially two routes to a remedy:</paratext>
                  </para>
                  <list type="bulleted">
                    <list.item>
                      <para>
                        <paratext>Under the title guarantee.</paratext>
                      </para>
                    </list.item>
                    <list.item>
                      <para>
                        <paratext>For breach of the contractual terms.</paratext>
                      </para>
                    </list.item>
                  </list>
                </division>
                <division id="a83310" level="2">
                  <head align="left" preservecase="true">
                    <headtext>General disclosure of overriding interests</headtext>
                  </head>
                  <para>
                    <paratext>
                      For more information on the seller's liability under the title guarantee, see 
                      <link anchor="a608926" href="8-101-3272" style="ACTLinkPLCtoPLC">
                        <ital>Practice note, Implied covenants for title: No liability under the implied covenant in certain cases</ital>
                      </link>
                      .
                    </paratext>
                  </para>
                </division>
              </division>
            </drafting.note>
            <subclause1 id="a724486">
              <identifier>8.1</identifier>
              <para>
                <paratext>
                  [[Subject to the other provisions of this clause, the] [The] Seller shall transfer the Property with [full] [ limited] title guarantee] 
                  <bold>OR</bold>
                   [The Seller shall transfer the Property with no title guarantee and with no covenants for title, whether express or implied]].
                </paratext>
              </para>
            </subclause1>
            <subclause1 condition="optional" id="a920980">
              <identifier>8.2</identifier>
              <para>
                <paratext>The implied covenants for title are modified so that:</paratext>
              </para>
              <subclause2 condition="optional" id="a95928">
                <identifier>(a)</identifier>
                <para>
                  <paratext>the covenant set out in section 2(1)(b) of the Law of Property (Miscellaneous Provisions) Act 1994 will not extend to costs arising from the Buyer's failure to:</paratext>
                </para>
                <subclause3 id="a809554">
                  <identifier>(i)</identifier>
                  <para>
                    <paratext>make proper searches; or</paratext>
                  </para>
                </subclause3>
                <subclause3 id="a789012">
                  <identifier>(ii)</identifier>
                  <para>
                    <paratext>
                      raise requisitions on title or on the results of the Buyer's searches [.
                      <bold>OR</bold>
                      ; and]
                    </paratext>
                  </para>
                </subclause3>
              </subclause2>
              <subclause2 condition="optional" id="a700718">
                <identifier>(b)</identifier>
                <para>
                  <paratext>the covenant set out in section 3(3) of the Law of Property (Miscellaneous Provisions) Act 1994 shall extend only to charges or incumbrances created by the Seller.</paratext>
                </para>
              </subclause2>
            </subclause1>
            <subclause1 condition="optional" id="a631066">
              <identifier>8.3</identifier>
              <para>
                <paratext>The Seller gives no title guarantee and no covenants for title, whether express or implied, for that part of the Property shown [hatched green] on the Plan.</paratext>
              </para>
              <drafting.note id="a429639" jurisdiction="">
                <head align="left" preservecase="true">
                  <headtext>If no title guarantee is being given in relation to part of the Property</headtext>
                </head>
                <division id="a000055" level="1">
                  <para>
                    <paratext>
                      If no title guarantee is being given in relation to part of the Property, make sure that you include the optional wording in 
                      <internal.reference refid="a724486">clause 8.1</internal.reference>
                      , "Subject to the other provisions of this clause, the".
                    </paratext>
                  </para>
                  <para>
                    <paratext>
                      If the seller chooses not to give a title guarantee, the contract should state expressly that no title guarantee is being given. This avoids the risk that a full title guarantee is given by implication under SCPC 7.6.2. In this standard document, SCPC 7.6.2 is excluded because it provides that, if the contract is silent as to any title guarantee to be given, it is assumed that the seller will give a full title guarantee. (see 
                      <link anchor="a479576" href="w-007-9162" style="ACTLinkPLCtoPLC">
                        <ital>Practice note, SCPC 7: Title and transfer (Standard Commercial Property Conditions, Third Edition – 2018 Revision): Title guarantee (SCPC 7.6.2)</ital>
                      </link>
                    </paratext>
                  </para>
                </division>
              </drafting.note>
            </subclause1>
            <subclause1 id="a307915">
              <identifier>8.4</identifier>
              <para>
                <paratext>
                  Condition 7.6.2 does not apply to this 
                  <bold>contract</bold>
                  .
                </paratext>
              </para>
            </subclause1>
          </clause>
          <clause id="a557630">
            <identifier>9.</identifier>
            <head align="left" preservecase="true">
              <headtext>Matters affecting the Property</headtext>
            </head>
            <drafting.note id="a581287" jurisdiction="">
              <head align="left" preservecase="true">
                <headtext>Matters affecting the Property</headtext>
              </head>
              <division id="a000056" level="1">
                <para>
                  <paratext>It is important for a property sale contract to specify all the matters subject to which the property is being sold so that:</paratext>
                </para>
                <list type="bulleted">
                  <list.item>
                    <para>
                      <paratext>The buyer knows to which matters it will take subject.</paratext>
                    </para>
                  </list.item>
                  <list.item>
                    <para>
                      <paratext>It is clear what matters the seller has disclosed.</paratext>
                    </para>
                  </list.item>
                </list>
                <para>
                  <paratext>
                    For more information, see 
                    <link href="w-008-0867" style="ACTLinkPLCtoPLC">
                      <ital>Practice note, Property contracts: matters affecting the property (SCPC (Third Edition – 2018 Revision) and SCS (Fifth Edition – 2018 Revision))</ital>
                    </link>
                    .
                  </paratext>
                </para>
                <para>
                  <paratext>This clause refers to the defined term Charges. The parties should list under the defined term those financial charges that are intended to be discharged on or before completion.</paratext>
                </para>
                <para>
                  <paratext>
                    In a farming context, charges might include agricultural charges over farming stock included in the sale, such as livestock, agricultural vehicles, plant and machinery. If agricultural charges are not listed under the definition of Charges, the Buyer will take subject to those charges under 
                    <internal.reference refid="a816573">clause 9.1(d)</internal.reference>
                    .
                  </paratext>
                </para>
                <para>
                  <paratext>
                    For more information on agricultural charges, see
                    <link href="2-523-3338" style="ACTLinkPLCtoPLC">
                      <ital> Practice note, Agricultural charges under the Agricultural Credits Act 1928</ital>
                    </link>
                    .
                  </paratext>
                </para>
              </division>
            </drafting.note>
            <subclause1 id="a542904">
              <identifier>9.1</identifier>
              <para>
                <paratext>The Seller shall transfer the Property free from incumbrances other than:</paratext>
              </para>
              <subclause2 id="a852662">
                <identifier>(a)</identifier>
                <para>
                  <paratext>any matters, other than the Charge[s], contained or referred to in the entries or records made in registers maintained by [HM Land Registry as at [DATE AND TIME OF OFFICIAL COPIES] under title number [NUMBER]] and [the Land Charges Department of HM Land Registry as at [DATE OF SEARCH]];</paratext>
                </para>
              </subclause2>
              <subclause2 id="a923386">
                <identifier>(b)</identifier>
                <para>
                  <paratext>any matters discoverable by inspection of the Property before the date of this contract;</paratext>
                </para>
              </subclause2>
              <subclause2 id="a976793">
                <identifier>(c)</identifier>
                <para>
                  <paratext>any matters which the Seller does not and could not reasonably know about;</paratext>
                </para>
              </subclause2>
              <subclause2 id="a816573">
                <identifier>(d)</identifier>
                <para>
                  <paratext>any matters, other than the Charge[s], disclosed or which would have been disclosed by the searches and enquiries which a prudent buyer would have made before entering into this contract;</paratext>
                </para>
              </subclause2>
              <subclause2 id="a297233">
                <identifier>(e)</identifier>
                <para>
                  <paratext>public requirements;</paratext>
                </para>
                <drafting.note id="a303573" jurisdiction="">
                  <head align="left" preservecase="true">
                    <headtext>Public requirements</headtext>
                  </head>
                  <division id="a000057" level="1">
                    <para>
                      <paratext>
                        Remember that public requirements are a defined term in the SCPC (see 
                        <internal.reference refid="a1036966">Drafting note, Part 1 Conditions</internal.reference>
                        ). Note that public requirements are defined in SCPC 1.1.1(l) as "any notice, order or proposal given or made (whether before or after the date of the contract) by a body acting on statutory authority". For more information, see 
                        <link anchor="a794575" href="w-008-0867" style="ACTLinkPLCtoPLC">
                          <ital>Practice note, Property contracts: matters affecting the property (SCPC (Third Edition - 2018 Revision) and SCS (Fifth Edition - 2018 Revision)): Public requirements</ital>
                        </link>
                        .
                      </paratext>
                    </para>
                  </division>
                </drafting.note>
              </subclause2>
              <subclause2 id="a589674">
                <identifier>(f)</identifier>
                <para>
                  <paratext>
                    any matters which are [unregistered interests which override registered dispositions under Schedule 3 to the Land Registration Act 2002 
                    <bold>OR</bold>
                     unregistered interests which override first registration under Schedule 1 to the Land Registration Act 2002]; [and]
                  </paratext>
                </para>
              </subclause2>
              <subclause2 id="a446772">
                <identifier>(g)</identifier>
                <para>
                  <paratext>
                    [any matters disclosed in the documents listed in 
                    <internal.reference refid="a335094">Schedule 3</internal.reference>
                    ][.][;and]
                  </paratext>
                </para>
              </subclause2>
              <subclause2 id="a141059">
                <identifier>(h)</identifier>
                <para>
                  <paratext>[ANY OTHER MATTERS.]</paratext>
                </para>
              </subclause2>
            </subclause1>
            <subclause1 id="a122039">
              <identifier>9.2</identifier>
              <para>
                <paratext>Conditions 4.1.1, 4.1.2 and 4.1.3 do not apply to this contract.</paratext>
              </para>
              <drafting.note id="a796706" jurisdiction="">
                <head align="left" preservecase="true">
                  <headtext>Exclusion of SCPC 4.1.1, 4.1.2 and 4.1.3</headtext>
                </head>
                <division id="a000058" level="1">
                  <para>
                    <paratext>The document excludes:</paratext>
                  </para>
                  <list type="bulleted">
                    <list.item>
                      <para>
                        <paratext>
                          SCPC 4.1.1 and 4.1.2 to avoid any confusion. SCPC 4.1.1 provides that the property is sold free from incumbrances save as set out in SCPC 4.1.2. SCPC 4.1.2 sets out the incumbrances to which the sale is subject. Instead, the incumbrances to which the property is sold subject are dealt with expressly in 
                          <internal.reference refid="a542904">clause 9.1</internal.reference>
                          . In clause 3 of this contract, SCPC 7.6.3 is amended so that reference to SCPC 4.1.2 is reference to clause 9 of this contract.
                        </paratext>
                      </para>
                      <para>
                        <paratext>
                          For more information, see 
                          <link anchor="a197359" href="w-007-9121" style="ACTLinkPLCtoPLC">
                            <ital>Practice note, SCPC 4: Matters affecting the property (Standard Commercial Property Conditions, Third Edition – 2018 Revision): Freedom from incumbrances (SCPC 4.1)</ital>
                          </link>
                          .
                        </paratext>
                      </para>
                    </list.item>
                  </list>
                  <list type="bulleted">
                    <list.item>
                      <para>
                        <paratext>SCPC 4.1.3 because it imposes what the seller may regard as an onerous obligation to keep the buyer informed of new public requirements and anything new concerning a matter covered by SCPC 4.1.2 (the incumbrances subject to which the property is sold).</paratext>
                      </para>
                      <para>
                        <paratext>
                          The buyer may want to retain this obligation. If it is to be retained, it will be preferable to put the obligation expressly in the contract because the matters to which the Property is sold subject are expressly listed in 
                          <internal.reference refid="a542904">clause 9.1</internal.reference>
                          , and SCPC 4.1.2 is not relied on.
                        </paratext>
                      </para>
                    </list.item>
                  </list>
                  <list type="bulleted">
                    <list.item>
                      <para>
                        <paratext>
                          The SCPC (Second Edition) contained limited provisions (in SCPC 3.3) relating to retained land. These provisions are not in the SCPC (Third Edition – 2018 Revision), and no express provision is included because the document assumes that the whole of the property is being sold. If the seller is retaining any land, the document will need to deal expressly with any rights to be granted and reserved, and any covenants that need to be imposed (see 
                          <internal.reference refid="a135525">Drafting note, If the contract is for the sale of part</internal.reference>
                          ). For further information, see 
                          <link href="1-385-9229" style="ACTLinkPLCtoPLC">
                            <ital>Practice note, Easements: creation</ital>
                          </link>
                          .
                        </paratext>
                      </para>
                    </list.item>
                  </list>
                </division>
              </drafting.note>
            </subclause1>
            <subclause1 id="a792619">
              <identifier>9.3</identifier>
              <para>
                <paratext>
                  The Buyer is deemed to have full knowledge of the matters referred to in 
                  <internal.reference refid="a542904">clause 9.1</internal.reference>
                   and will not raise any enquiry, objection, requisition or claim in respect of any of them.
                </paratext>
              </para>
              <drafting.note id="a227462" jurisdiction="">
                <head align="left" preservecase="true">
                  <headtext>Requisitions on pre-completion searches</headtext>
                </head>
                <division id="a000059" level="1">
                  <para>
                    <paratext>
                      The Buyer may wish to amend 
                      <internal.reference refid="a792619">clause 9.3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division>
              </drafting.note>
            </subclause1>
          </clause>
          <clause id="a837936">
            <identifier>10.</identifier>
            <head align="left" preservecase="true">
              <headtext>Transfer</headtext>
            </head>
            <drafting.note id="a538562" jurisdiction="">
              <head align="left" preservecase="true">
                <headtext>Transfer</headtext>
              </head>
              <division id="a000060" level="1">
                <para>
                  <paratext>If the transfer is complicated, it may be advisable for the form of the transfer to be drafted and agreed between the parties prior to exchange of contracts. If so, the agreed form should be attached to the contract. The clause provides the option to do this.</paratext>
                </para>
                <para>
                  <paratext>
                    Alternatively, the parties can specify that the form of transfer will contain certain provisions, as set out in the contract (see 
                    <internal.reference refid="a363579">Drafting note, Form of transfer</internal.reference>
                    ).
                  </paratext>
                </para>
                <para>
                  <paratext>
                    SCPC 7.3.2 prescribes the timetable by which the transfer is to be drafted, approved and engrossed (see 
                    <link anchor="a823664" href="w-007-9162" style="ACTLinkPLCtoPLC">
                      <ital>Practice note, SCPC 7: Title and transfer (Standard Commercial Property Conditions, Third Edition – 2018 Revision): Timetable (SCPC 7.3)</ital>
                    </link>
                    ). The parties need to check that these provisions will be satisfactory. Contractual provisions as to when the transfer must be prepared, agreed and executed can be very important.
                  </paratext>
                </para>
                <division id="a363579" level="2">
                  <head align="left" preservecase="true">
                    <headtext>Form of transfer</headtext>
                  </head>
                  <para>
                    <paratext>The transfer should contain:</paratext>
                  </para>
                  <list type="bulleted">
                    <list.item>
                      <para>
                        <paratext>
                          A declaration as to the title guarantee to be given, as stated in the contract. If the contract provides for any limitation or modification of the implied covenants for title provided for in the contract (see optional clauses 
                          <internal.reference refid="a920980">clause 8.2</internal.reference>
                           and 
                          <internal.reference refid="a631066">clause 8.3</internal.reference>
                          ), make sure that you have included a requirement that the transfer includes the corresponding optional declaration and statements.
                        </paratext>
                      </para>
                    </list.item>
                    <list.item>
                      <para>
                        <paratext>
                          A provision that the disposition is made subject to all matters to which the contract is subject. The transfer should list all the matters subject to which the property is sold, as stated in the contract (see 
                          <internal.reference refid="a557630">clause 9</internal.reference>
                          ).
                        </paratext>
                      </para>
                    </list.item>
                    <list.item>
                      <para>
                        <paratext>
                          A provision that all matters recorded at the date of the transfer in public registers will be deemed to be within the actual knowledge of the buyer for the purposes of 
                          <link href="0-506-5722" style="ACTLinkPLCtoPLC">
                            <ital>section 6(2)(a)</ital>
                          </link>
                           of the Law of Property (Miscellaneous Provisions) Act 1994 and the seller's liability under the title covenants.
                        </paratext>
                      </para>
                    </list.item>
                    <list.item>
                      <para>
                        <paratext>
                          A provision stating that the property will not have any implied rights under 
                          <link href="4-508-2908" style="ACTLinkPLCtoPLC">
                            <ital>section 62</ital>
                          </link>
                           of the Law of Property Act 1925.
                        </paratext>
                      </para>
                    </list.item>
                    <list.item>
                      <para>
                        <paratext>
                          A provision to deal with any covenants to be given by the Buyer to the Seller. The document will need to include details of any relevant covenants in respect of which an indemnity covenant is required. For information, see 
                          <link href="8-512-6793" style="ACTLinkPLCtoPLC">
                            <ital>Practice note, Transfers: when is an indemnity covenant required?</ital>
                          </link>
                          .
                        </paratext>
                      </para>
                    </list.item>
                  </list>
                  <para>
                    <paratext>For more information on drafting transfers, see:</paratext>
                  </para>
                  <list type="bulleted">
                    <list.item>
                      <para>
                        <paratext>
                          <link href="5-510-3509" style="ACTLinkPLCtoPLC">
                            <ital>Standard clauses, Transfers: clauses for TR1 (commercial freehold or leasehold property)</ital>
                          </link>
                          .
                        </paratext>
                      </para>
                    </list.item>
                    <list.item>
                      <para>
                        <paratext>
                          <link anchor="a258400" href="1-385-9229" style="ACTLinkPLCtoPLC">
                            <ital>Practice note, Easements: creation: Avoiding implied grants, excluding section 62 and the passing of existing appurtenant rights</ital>
                          </link>
                          <ital>.</ital>
                        </paratext>
                      </para>
                    </list.item>
                    <list.item>
                      <para>
                        <paratext>
                          <link href="9-505-6073" style="ACTLinkPLCtoPLC">
                            <ital>Drafting property transfers toolkit</ital>
                          </link>
                          .
                        </paratext>
                      </para>
                    </list.item>
                  </list>
                </division>
                <division id="a549841" level="2">
                  <head align="left" preservecase="true">
                    <headtext>Executing the transfer in duplicate</headtext>
                  </head>
                  <para>
                    <paratext>
                      The document requires the parties to execute the transfer in original and counterpart. SCPC 7.6.5(b) is excluded (see 
                      <link anchor="a196374" href="w-007-9162" style="ACTLinkPLCtoPLC">
                        <ital>Practice note, SCPC 7: Title and transfer (Standard Commercial Property Conditions, Third Edition – 2018 Revision): Transfer (SCPC 7.6)</ital>
                      </link>
                      ).
                    </paratext>
                  </para>
                </division>
              </division>
            </drafting.note>
            <subclause1 id="a233145">
              <identifier>10.1</identifier>
              <para>
                <paratext>
                  [The transfer to the Buyer will be in the agreed form annexed to this contract] 
                  <bold>OR</bold>
                   [The transfer of the Property to the Buyer shall contain:
                </paratext>
              </para>
              <subclause2 id="a781938">
                <identifier>(a)</identifier>
                <para>
                  <paratext>a declaration as to the title guarantee with which the transfer is made as stated in this contract [including a declaration that the Seller gives no title guarantee and no covenants for title, whether express or implied, for that part of the Property shown [hatched green] on the Plan];</paratext>
                </para>
              </subclause2>
              <subclause2 condition="optional" id="a286969">
                <identifier>(b)</identifier>
                <para>
                  <paratext>a statement that the covenant set out in section 2(1)(b) of the Law of Property (Miscellaneous Provisions) Act 1994 will not extend to costs arising from the Transferee's failure to make proper searches or to raise requisitions on title or on the results of the Transferee's searches;</paratext>
                </para>
              </subclause2>
              <subclause2 condition="optional" id="a360525">
                <identifier>(c)</identifier>
                <para>
                  <paratext>a statement that the covenants set out in section 3 of the Law of Property (Miscellaneous Provisions) Act 1994 shall extend only to charges or incumbrances created by the Transferor;</paratext>
                </para>
              </subclause2>
              <subclause2 id="a869980">
                <identifier>(d)</identifier>
                <para>
                  <paratext>
                    a statement that the disposition effected by the transfer is made subject to all the matters to which this contract is made subject as set out in 
                    <internal.reference refid="a557630">clause 9</internal.reference>
                    .
                  </paratext>
                </para>
              </subclause2>
              <subclause2 id="a137014">
                <identifier>(e)</identifier>
                <para>
                  <paratext>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Act; [and]</paratext>
                </para>
              </subclause2>
              <subclause2 id="a335914">
                <identifier>(f)</identifier>
                <para>
                  <paratext>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liberties, privileges, easements, rights or advantages over land retained by the Seller except as expressly mentioned in or created by the transfer[.][; and]</paratext>
                </para>
              </subclause2>
              <subclause2 condition="optional" id="a739213">
                <identifier>(g)</identifier>
                <para>
                  <paratext>a covenant by the Buyer by way of indemnity only, on the Buyer's own behalf and on behalf of the Buyer's successors in title, to observe and perform the charges, incumbrances, covenants and restrictions contained or referred to in [the property and charges registers of [TITLE NUMBER[S] OF THE PROPERTY] [and] [in [DESCRIPTION OF RELEVANT CONVEYANCE(S)/DOCUMENTS]] in so far as they are subsisting and capable of taking effect and will keep the Seller indemnified against all proceedings, costs, claims and expenses arising from any failure to do so][.][; and]</paratext>
                </para>
              </subclause2>
              <subclause2 condition="optional" id="a910299">
                <identifier>(h)</identifier>
                <para>
                  <paratext>a provision that the Seller transfers to the Buyer only such estate title right and interest (if any) as the Seller may have in the land hatched green on the Plan].</paratext>
                </para>
              </subclause2>
            </subclause1>
            <subclause1 id="a998155">
              <identifier>10.2</identifier>
              <para>
                <paratext>The Buyer and the Seller will execute the transfer in original and counterpart.</paratext>
              </para>
            </subclause1>
            <subclause1 id="a152497">
              <identifier>10.3</identifier>
              <para>
                <paratext>Condition 7.6.5(b) does not apply to this contract.</paratext>
              </para>
            </subclause1>
          </clause>
          <clause id="a752485">
            <identifier>11.</identifier>
            <head align="left" preservecase="true">
              <headtext>VAT</headtext>
            </head>
            <drafting.note id="a919044" jurisdiction="">
              <head align="left" preservecase="true">
                <headtext>VAT</headtext>
              </head>
              <division id="a000061" level="1">
                <para>
                  <paratext>
                    SCPC 2.1 contains a warranty from the seller that the sale of the Property will be subject to VAT at the standard rate. This 
                    <internal.reference refid="a752485">clause 11</internal.reference>
                     excludes SCPC 2.1 and instead provides two alternative warranties from the Seller to ascertain the VAT treatment of the Property.
                  </paratext>
                </para>
                <para>
                  <paratext>The parties should ascertain the VAT position prior to exchange to determine whether the sale of the Property will be:</paratext>
                </para>
                <list type="bulleted">
                  <list.item>
                    <para>
                      <paratext>
                        Subject to VAT (that is, taxable) as a result of the Seller having opted to tax the Property (
                        <ital>Schedule 10, VATA 1994</ital>
                        ). If the Seller has opted to tax the Property, the option to tax will not generally apply to the farmhouse (or any other dwellings) because options to tax have no effect on sales of buildings (or parts of buildings) that are designed or adapted, and intended, for use as a dwelling (or dwellings) (
                        <ital>paragraph 5, Schedule 10, VATA 1994</ital>
                        ). If the Seller has opted to tax the Property, the parties may wish to specify how much of the Purchase Price is allocated to the farmhouse and any other dwellings in 
                        <internal.reference refid="a426273">clause 2.2</internal.reference>
                        .
                      </paratext>
                    </para>
                  </list.item>
                  <list.item>
                    <para>
                      <paratext>
                        Exempt from VAT as a sale of freehold land (
                        <ital>item 1, Group 1, Schedule 9, VATA 1994</ital>
                        )
                      </paratext>
                    </para>
                  </list.item>
                </list>
                <para>
                  <paratext>Clause 11.2 includes two alternative warranties so that the VAT treatment of the sale of the Property can be ascertained.</paratext>
                </para>
                <para>
                  <paratext>Clause 11.3 provides that the Buyer will pay any VAT on any taxable supplies made by the Seller under or pursuant to the contract. This will include VAT on the Property if the Seller has opted to tax the Property and any VAT chargeable on any separate supplies of the Contents and Chattels, Livestock and Plant, Equipment and Machinery that is not Fixed Plant.</paratext>
                </para>
                <para>
                  <paratext>If the Seller has not opted to tax the Property and there is a change of law between exchange and completion resulting in VAT becoming payable on the sale of the Property, clause 11.3 requires the Buyer to pay the VAT to the Seller. If the Seller is to take the change of law risk, the parties can amend the clause.</paratext>
                </para>
                <para>
                  <paratext>
                    For more information, see 
                    <link href="w-008-0900" style="ACTLinkPLCtoPLC">
                      <ital>Practice notes, Property contracts: VAT (SCPC (Third Edition – 2018 Revision))</ital>
                    </link>
                     and 
                    <link href="1-107-4240" style="ACTLinkPLCtoPLC">
                      <ital>VAT and property: an outline of the rules</ital>
                    </link>
                    .
                  </paratext>
                </para>
                <para>
                  <paratext>
                    Optional clause 11.4 is designed to ensure that the Buyer's actions (or intentions) with regard to the Property will not (intentionally or inadvertently) trigger the disapplication of the Seller's option to tax. If the Seller's option to tax is disapplied, its ability to recover input VAT may be restricted. Therefore, where the Seller has opted to tax and is concerned about VAT recovery, it may insist on the inclusion of this provision. Include optional Clause 11.3(b) if the Seller considers that there is a risk that the Buyer might use any non-residential part of the Property for residential purposes. Optional clause 11.4 can be deleted if the Seller has not opted to tax the Property and the second option in clause 11.2 is selected. For more information, see 
                    <link anchor="a501273" href="6-508-0343" style="ACTLinkPLCtoPLC">
                      <ital>Practice note, The option to tax: disapplication: Anti-avoidance rules</ital>
                    </link>
                     and 
                    <link anchor="a935981" href="6-508-0343" style="ACTLinkPLCtoPLC">
                      <ital>When the option does not apply</ital>
                    </link>
                    .
                  </paratext>
                </para>
                <para>
                  <paratext>The VAT treatment of a supply of agricultural land can often depend on the precise facts and circumstances of each transaction. Specialist advice should therefore be taken.</paratext>
                </para>
              </division>
            </drafting.note>
            <subclause1 id="a489497">
              <identifier>11.1</identifier>
              <para>
                <paratext>Each amount stated to be payable by the Buyer to the Seller under or pursuant to this contract is exclusive of VAT (if any).</paratext>
              </para>
            </subclause1>
            <subclause1 id="a945123">
              <identifier>11.2</identifier>
              <para>
                <paratext>
                  [The Seller warrants that the sale of the Property [other than the farmhouse[ and any other dwellings]] will constitute a supply chargeable to VAT at the standard rate. 
                  <bold>OR</bold>
                   The Seller warrants that the sale of the Property does not constitute a supply that is taxable for VAT purposes and undertakes that neither it nor a relevant associate (as defined in paragraph 3 of Schedule 10 to the Value Added Tax Act 1994) will not opt to tax the Property.]
                </paratext>
              </para>
            </subclause1>
            <subclause1 id="a1012882">
              <identifier>11.3</identifier>
              <para>
                <paratext>If any VAT is chargeable on any supply made by the Seller under or pursuant to this contract, the Buyer shall, on receipt of a valid VAT invoice, pay the Seller an amount equal to that VAT as additional consideration on completion.</paratext>
              </para>
            </subclause1>
            <subclause1 id="a906796">
              <identifier>11.4</identifier>
              <para>
                <paratext>[The Buyer warrants that it does not intend or expect:</paratext>
              </para>
              <subclause2 id="a840790">
                <identifier>(a)</identifier>
                <para>
                  <paratext>that the Property will become exempt land (within paragraph 12 of Schedule 10 to the Value Added Tax Act 1994[. OR ; and]</paratext>
                </para>
              </subclause2>
              <subclause2 id="a639664">
                <identifier>(b)</identifier>
                <para>
                  <paratext>[to use the Property for purposes which could affect the application or effect of any option to tax made by the Seller in respect of the Property (as a result of the application of paragraph 6 of Schedule 10 to the Value Added Tax Act 1994) and, in particular, that it will not issue a certificate of intention of residential use of the Property (under paragraph 3.4.2 of Notice 742A.]]</paratext>
                </para>
              </subclause2>
            </subclause1>
            <subclause1 condition="optional" id="a771301">
              <identifier>11.5</identifier>
              <para>
                <paratext>
                  Conditions 2.1 and 2.2 do not apply to this 
                  <bold>contract</bold>
                  .
                </paratext>
              </para>
            </subclause1>
          </clause>
          <clause id="a418773">
            <identifier>12.</identifier>
            <head align="left" preservecase="true">
              <headtext>Completion</headtext>
            </head>
            <drafting.note id="a398382" jurisdiction="">
              <head align="left" preservecase="true">
                <headtext>Completion</headtext>
              </head>
              <division id="a000062" level="1">
                <para>
                  <paratext>
                    See 
                    <link href="w-008-0833" style="ACTLinkPLCtoPLC">
                      <ital>Practice note, Property contracts: completion (SCPC (Third Edition – 2018 Revision)) and (SCS (Fifth Edition – 2018 Revision))</ital>
                    </link>
                    . For more information, see Practice notes:
                  </paratext>
                </para>
                <list type="bulleted">
                  <list.item>
                    <para>
                      <paratext>
                        <link href="w-007-9013" style="ACTLinkPLCtoPLC">
                          <ital>SCPC 9: Completion (Standard Commercial Property Conditions, Third Edition – 2018 Revision)</ital>
                        </link>
                        .
                      </paratext>
                    </para>
                  </list.item>
                  <list.item>
                    <para>
                      <paratext>
                        <link href="w-007-9167" style="ACTLinkPLCtoPLC">
                          <ital>SCPC: Key changes in Standard Commercial Property Conditions (Third Edition)</ital>
                        </link>
                        .
                      </paratext>
                    </para>
                  </list.item>
                </list>
                <para>
                  <paratext>It is traditional on sales of agricultural land for completion to take place on 29 September or 11 October, no matter when contracts are exchanged.</paratext>
                </para>
              </division>
            </drafting.note>
            <subclause1 id="a959475">
              <identifier>12.1</identifier>
              <para>
                <paratext>Completion will take place on the Completion Date but time is not of the essence of the contract unless a notice to complete has been served.</paratext>
              </para>
            </subclause1>
            <subclause1 id="a526701">
              <identifier>12.2</identifier>
              <para>
                <paratext>Condition 9.1.1 does not apply to this contract.</paratext>
              </para>
            </subclause1>
            <subclause1 id="a602947">
              <identifier>12.3</identifier>
              <para>
                <paratext>Conditions 9.1.2 and 9.1.3 are varied by the deletion of 2.00 pm as the stipulated time and the substitution of 1.00 pm.</paratext>
              </para>
            </subclause1>
            <subclause1 id="a938113">
              <identifier>12.4</identifier>
              <para>
                <paratext>Condition 1.1.3(b) is amended to read: "in the case of the seller, even though a mortgage remains secured on the property, if the amount to be paid on completion enables the property to be transferred freed of all mortgages, (except those to which the sale is expressly subject) or if the seller produces reasonable evidence that this is the case."</paratext>
              </para>
            </subclause1>
            <subclause1 id="a944500">
              <identifier>12.5</identifier>
              <para>
                <paratext>Condition 9.4 is amended to add, "(d) any other sum which the parties agree under the terms of the contract should be paid or allowed on completion".</paratext>
              </para>
            </subclause1>
            <subclause1 id="a120293">
              <identifier>12.6</identifier>
              <para>
                <paratext>Condition 9.7 is amended to read: "The buyer is to pay the money due on completion by Electronic Payment and, if appropriate, by an unconditional release of a deposit held by a stakeholder".</paratext>
              </para>
            </subclause1>
          </clause>
          <clause id="a602364">
            <identifier>13.</identifier>
            <head align="left" preservecase="true">
              <headtext>Management</headtext>
            </head>
            <drafting.note id="a494090" jurisdiction="">
              <head align="left" preservecase="true">
                <headtext>Management</headtext>
              </head>
              <division id="a000063" level="1">
                <para>
                  <paratext>
                    <internal.reference refid="a602364">clause 13</internal.reference>
                     deals with management of the Property between exchange and completion. The Buyer will be concerned that the property is properly managed so that its interest is preserved and protected.
                  </paratext>
                </para>
                <para>
                  <paratext>
                    A seller holds the property on trust for the buyer between exchange and completion. The seller's principal obligation as trustee for the buyer is to manage and preserve the property with the same degree of care as is required of any other trustee in possession. For more information, see 
                    <link href="7-101-6657" style="ACTLinkPLCtoPLC">
                      <ital>Practice note, Trustee relationship between seller and buyer between exchange and completion</ital>
                    </link>
                    . The legal estate remains vested in the seller until the registration has been completed (or, if the property is unregistered, until the transfer deed is executed and any completion monies have been paid).
                  </paratext>
                </para>
                <para>
                  <paratext>The Buyer's conveyancer might want to amend this clause to impose more restrictions on the Seller. For example, the Buyer may want to:</paratext>
                </para>
                <list type="bulleted">
                  <list.item>
                    <para>
                      <paratext>
                        Amend 
                        <internal.reference refid="a299241">clause 13.1(a)</internal.reference>
                         to refer to the rules of good husbandry and good estate management, instead of the Seller's normal management practice.
                      </paratext>
                    </para>
                  </list.item>
                  <list.item>
                    <para>
                      <paratext>Impose obligations on the Seller to consult with the Buyer and to obtain the Buyer's authority to any action.</paratext>
                    </para>
                  </list.item>
                </list>
                <para>
                  <paratext>
                    Check that any amendments made do not conflict with other provisions in the document, such as those relating to tenant right (
                    <internal.reference refid="a124995">clause 17</internal.reference>
                    ), holdover (
                    <internal.reference refid="a231808">clause 18</internal.reference>
                    ) and early access rights (
                    <internal.reference refid="a186918">clause 20</internal.reference>
                    ).
                  </paratext>
                </para>
                <para>
                  <paratext>
                    The document is drafted on the assumption that the Property is not subject to any tenancies, so this clause does not deal with the management of occupational leases between exchange and completion. Where a property is subject to leases, a seller would generally want to expressly exclude SCPC 5.1, 5.2 and 5.3 (which cover various issues relating to leases and the management of leases) and instead set out the obligations in the contract (see 
                    <link href="w-008-0847" style="ACTLinkPLCtoPLC">
                      <ital>Practice note, Property contracts: management (SCPC (Third Edition - 2018 Revision))</ital>
                    </link>
                    ).
                  </paratext>
                </para>
                <para>
                  <paratext>
                    The sale of farm land often includes farm buildings where rubbish or discarded, outdated equipment has accumulated. As removal of rubbish and discarded equipment is likely to be expensive to remove, 
                    <internal.reference refid="a912040">clause 13.4(a)</internal.reference>
                     refers expressly to the Seller's obligation to remove rubbish before completion. For the avoidance of doubt, it includes an option to specify items of rubbish that the Buyer expects the Seller to remove.
                  </paratext>
                </para>
              </division>
            </drafting.note>
            <subclause1 id="a519504">
              <identifier>13.1</identifier>
              <para>
                <paratext>From the date of this contract until completion, the Seller will:</paratext>
              </para>
              <subclause2 id="a299241">
                <identifier>(a)</identifier>
                <para>
                  <paratext>manage the Property in accordance with the Seller's normal management practice, including carrying out normal acts of cultivation and husbandry where necessary; and</paratext>
                </para>
              </subclause2>
              <subclause2 id="a694450">
                <identifier>(b)</identifier>
                <para>
                  <paratext>maintain the [Contents,] [Livestock,] [and] [Plant, Equipment and Machinery] in the same state and condition as at the date of this contract.</paratext>
                </para>
              </subclause2>
            </subclause1>
            <subclause1 id="a190968">
              <identifier>13.2</identifier>
              <para>
                <paratext>As soon as reasonably practicable following the date of this contract, the Seller will give the Buyer [reasonable] access to all the Management Information that is in the custody or control of the Seller or the Seller's agents and, at the request and expense of the Buyer, will supply copies of all the Management Information to the Buyer, to the extent not already supplied.</paratext>
              </para>
            </subclause1>
            <subclause1 id="a586177">
              <identifier>13.3</identifier>
              <para>
                <paratext>From the date of this contract until the Buyer is registered at HM Land Registry as proprietor of the title to the Property, the Seller will promptly notify the Buyer in writing of any notices served on or proceedings commenced against the Seller in relation to the Property, and will provide the Buyer with copies of any such notices or proceedings.</paratext>
              </para>
            </subclause1>
            <subclause1 id="a48564">
              <identifier>13.4</identifier>
              <para>
                <paratext>Before completion the Seller will:</paratext>
              </para>
              <subclause2 id="a912040">
                <identifier>(a)</identifier>
                <para>
                  <paratext>remove any rubbish from the Property [including the following items [SPECIFY ITEMS TO BE REMOVED];</paratext>
                </para>
              </subclause2>
              <subclause2 id="a153666">
                <identifier>(b)</identifier>
                <para>
                  <paratext>make good any damage caused;</paratext>
                </para>
              </subclause2>
              <subclause2 id="a237155">
                <identifier>(c)</identifier>
                <para>
                  <paratext>empty any slurry tanks using a properly regulated waste collecting organisation; and</paratext>
                </para>
              </subclause2>
              <subclause2 id="a428790">
                <identifier>(d)</identifier>
                <para>
                  <paratext>leave the Property in a neat and tidy condition in accordance with good farming practice.</paratext>
                </para>
              </subclause2>
            </subclause1>
          </clause>
          <clause condition="optional" id="a372124">
            <identifier>14.</identifier>
            <head align="left" preservecase="true">
              <headtext>Service Contracts</headtext>
            </head>
            <drafting.note id="a1003486" jurisdiction="">
              <head align="left" preservecase="true">
                <headtext>Service Contracts (optional clause)</headtext>
              </head>
              <division id="a000064" level="1">
                <para>
                  <paratext>
                    Service contracts may be relevant in relation to some farm equipment. For information on the issues to consider when drafting or negotiating a clause in a property sale contract dealing with service contracts, see 
                    <link href="w-008-0884" style="ACTLinkPLCtoPLC">
                      <ital>Practice note, Property contracts: dealing with service contracts (SCPC (Third Edition – 2018 Revision))</ital>
                    </link>
                    <ital>.</ital>
                  </paratext>
                </para>
              </division>
            </drafting.note>
            <subclause1 id="a925882">
              <identifier>14.1</identifier>
              <para>
                <paratext>
                  In this clause, 
                  <defn.term>Service Contracts</defn.term>
                   are those service and/or supply contracts listed in 
                  <internal.reference refid="a622659">Schedule 7</internal.reference>
                   and 
                  <defn.term>Service Contract</defn.term>
                   is any one of them.
                </paratext>
              </para>
            </subclause1>
            <subclause1 id="a803078">
              <identifier>14.2</identifier>
              <para>
                <paratext>The Buyer shall use all reasonable endeavours to obtain a novation of each of the Service Contracts as soon as practicable and in any event within [four] weeks after completion, each novation to be on terms that the Seller is released from all liability under the relevant Service Contract.</paratext>
              </para>
            </subclause1>
            <subclause1 id="a318717">
              <identifier>14.3</identifier>
              <para>
                <paratext>If the Buyer has failed to obtain a novation of any of the Service Contracts within [four] weeks after completion:</paratext>
              </para>
              <subclause2 id="a962188">
                <identifier>(a)</identifier>
                <para>
                  <paratext>the Buyer shall use all reasonable endeavours to ensure that the relevant supplier consents to an assignment of the relevant Service Contract to the Buyer (if such consent is required);</paratext>
                </para>
              </subclause2>
              <subclause2 id="a279109">
                <identifier>(b)</identifier>
                <para>
                  <paratext>the Seller shall, subject to the Buyer having obtained the supplier's consent (if required), assign the relevant Service Contract to the Buyer in a form reasonably required by the Seller; and</paratext>
                </para>
              </subclause2>
              <subclause2 id="a1026276">
                <identifier>(c)</identifier>
                <para>
                  <paratext>within [five] working days after the date of each assignment, the Buyer shall give notice of the assignment to the relevant supplier.</paratext>
                </para>
              </subclause2>
            </subclause1>
            <subclause1 id="a105091">
              <identifier>14.4</identifier>
              <para>
                <paratext>The Seller may terminate (or procure the termination of) any of the Service Contracts that have neither been novated nor assigned in accordance with this clause within [eight] weeks after completion.</paratext>
              </para>
            </subclause1>
            <subclause1 id="a603068">
              <identifier>14.5</identifier>
              <para>
                <paratext>The Buyer shall make all payments due under the Service Contracts after completion (and any costs, fees or penalties payable by reason of any novation, assignment or release of any Service Contract) and will comply with the obligations arising under them after completion and will keep the Seller indemnified against all liabilities, expenses, costs (including but not limited to any solicitors' or other professionals' costs and expenses), claims, damages and losses suffered or incurred whether by the Seller or the Seller's agents, as a result of any failure by the Buyer to do so.</paratext>
              </para>
            </subclause1>
            <subclause1 id="a374715">
              <identifier>14.6</identifier>
              <para>
                <paratext>In relation to each of the Service Contracts terminated, the Buyer will:</paratext>
              </para>
              <subclause2 id="a325354">
                <identifier>(a)</identifier>
                <para>
                  <paratext>indemnify the Seller against any sum payable as a result of the termination; and</paratext>
                </para>
              </subclause2>
              <subclause2 id="a207859">
                <identifier>(b)</identifier>
                <para>
                  <paratext>allow the Seller, the supplier and their respective contractors reasonable access to the Property to remove any equipment from the Property which belongs to the supplier.</paratext>
                </para>
              </subclause2>
            </subclause1>
          </clause>
          <clause condition="optional" id="a333383">
            <identifier>15.</identifier>
            <head align="left" preservecase="true">
              <headtext>Capital allowances election</headtext>
            </head>
            <drafting.note id="a52884" jurisdiction="">
              <head align="left" preservecase="true">
                <headtext>Capital allowances election (optional clause)</headtext>
              </head>
              <division id="a000065" level="1">
                <para>
                  <paratext>
                    <bold>Capital allowances in respect of plant and machinery fixtures</bold>
                  </paratext>
                </para>
                <para>
                  <paratext>The Buyer may be entitled to claim plant and machinery capital allowances on any plant and machinery that it acquires under the contract. Plant and machinery capital allowances may be available on:</paratext>
                </para>
                <list type="bulleted">
                  <list.item>
                    <para>
                      <paratext>
                        Any plant and machinery that is a fixture in the Property. This optional clause and 
                        <internal.reference refid="a98056">Schedule 8</internal.reference>
                         of this document provide for the Seller and the Buyer to make a joint capital allowances election fixing the portion of the price referable to the Property that is attributable to fixtures in the Property qualifying for plant and machinery capital allowances. (See 
                        <link anchor="a785746" href="w-031-3715" style="ACTLinkPLCtoPLC">
                          <ital>Practice notes, Capital allowances: fixtures in buildings and on land: Capital allowances on purchase of property</ital>
                        </link>
                        , 
                        <link anchor="a371823" href="w-031-3715" style="ACTLinkPLCtoPLC">
                          <ital>Restriction on buyer's qualifying expenditure</ital>
                        </link>
                         and 
                        <link anchor="a210727" href="w-031-3715" style="ACTLinkPLCtoPLC">
                          <ital>Section 198 and 199 elections</ital>
                        </link>
                        .)
                      </paratext>
                    </para>
                  </list.item>
                  <list.item>
                    <para>
                      <paratext>
                        Any plant and machinery that is not a fixture in the Property (for example, any Plant, Equipment and Machinery that is not Fixed Plant). 
                        <internal.reference refid="a827254">Clause 2</internal.reference>
                         should apportion part of the Purchase Price to such plant and machinery (see 
                        <link anchor="a805963" href="6-362-6968" style="ACTLinkPLCtoPLC">
                          <ital>Practice notes, Capital allowances: overview: Just and reasonable apportionment</ital>
                        </link>
                         and 
                        <link href="w-031-3848" style="ACTLinkPLCtoPLC">
                          <ital>Capital allowances: availability and types of plant and machinery allowances</ital>
                        </link>
                        ). Such plant and machinery should not be included in the capital allowances election. Examples of such plant and machinery include dairy cattle, laying poultry and moveable barns (provided that they qualify as plant).
                      </paratext>
                    </para>
                  </list.item>
                </list>
                <para>
                  <paratext>These provisions should be checked with the buyer's accountant. Specialist advice should be taken on capital allowances in relation to agricultural property. The allowance for agricultural buildings and works was phased out by the 21 March 2007 Budget and finally abolished in 2012.</paratext>
                </para>
                <para>
                  <paratext>
                    It is important to determine both whether the asset is a fixture as a matter of land law (see 
                    <link anchor="a149563" href="w-031-3715" style="ACTLinkPLCtoPLC">
                      <ital>Practice note, Capital allowances: fixtures in buildings and on land: What is a fixture?</ital>
                    </link>
                    ) and whether it is plant or machinery. It is also important to determine whether any of the plant and machinery fixtures are integral features because these attract capital allowances at a different rate to other plant and machinery fixtures and must be separately identified in the capital allowances election (see 
                    <link anchor="a403332" href="w-031-3848" style="ACTLinkPLCtoPLC">
                      <ital>Practice note, Capital allowances: availability and types of plant and machinery allowances: Integral features</ital>
                    </link>
                    ).
                  </paratext>
                </para>
                <para>
                  <paratext>
                    "Plant" and "machinery" are not defined by statute but CAA 2001 expressly treats certain assets as plant or machinery and prevents other certain assets from being plant or machinery (see 
                    <link anchor="a328523" href="w-031-3711" style="ACTLinkPLCtoPLC">
                      <ital>Practice note, Capital allowances: meaning of plant and machinery: Items that are not plant or machinery under CAA 2001</ital>
                    </link>
                     and 
                    <link anchor="a598403" href="w-031-3711" style="ACTLinkPLCtoPLC">
                      <ital>Items treated as plant or machinery under CAA 2001</ital>
                    </link>
                    ). Certain items of agricultural plant and machinery may qualify as plant or machinery. For example, in 
                    <link href="D-108-6726" style="ACTLinkPLCtoPLC">
                      <ital>Schofield v R&amp;H Hall Ltd (1974) 49 TC 538</ital>
                    </link>
                    , two grain silos that held, cooled, turned over and fumigated grain were plant. In 
                    <link href="D-102-8952" style="ACTLinkPLCtoPLC">
                      <ital>May (t/a SC May) v HMRC [2019] UKFTT 32 (TC)</ital>
                    </link>
                    , a facility used for the drying, conditioning and storage of grain was plant. For a detailed discussion of the meaning of "plant", see 
                    <link anchor="a573910" href="w-031-3711" style="ACTLinkPLCtoPLC">
                      <ital>Practice note, Capital allowances: meaning of plant and machinery: Plant</ital>
                    </link>
                     and for a discussion of the meaning of "machinery", see 
                    <link anchor="a357795" href="w-031-3711" style="ACTLinkPLCtoPLC">
                      <ital>Practice note, Capital allowances: meaning of plant and machinery: Machinery</ital>
                    </link>
                    . For HMRC's guidance on the meaning of plant and machinery, see 
                    <link href="https://www.gov.uk/hmrc-internal-manuals/capital-allowances-manual/ca21000" style="ACTLinkURL">
                      <ital>HMRC: CA21000</ital>
                    </link>
                    .
                  </paratext>
                </para>
                <para>
                  <paratext>Certain items of plant and machinery such as grain silos, silage clamps, slurry pits, milk bulk tanks and milking equipment may, depending on their degree of annexation to the Property, constitute fixtures on which capital allowances may be available. In recent years a number of owners of agricultural land have installed solar panels and/or wind turbines on their land. Such items may also constitute fixtures which qualify for capital allowances.</paratext>
                </para>
                <para>
                  <paratext>
                    The Buyer's qualifying expenditure on fixtures that qualify for plant and machinery capital allowances is restricted so that it cannot exceed the disposal value for the fixtures brought into account by the Seller or a previous owner that owned the fixtures at any time since 24 July 1996. Further, the Buyer's qualifying expenditure is nil if the pooling requirement and/or the fixed value requirement apply but are not satisfied. (See 
                    <link anchor="a371823" href="w-031-3715" style="ACTLinkPLCtoPLC">
                      <ital>Practice note, Capital allowances: fixtures in buildings and on land: Restriction on buyer's qualifying expenditure</ital>
                    </link>
                    .)The pooling requirement must be satisfied if the Seller (or any person who has owned the Property since April 2014) (past owner) was entitled to claim capital allowances on the fixtures in the Property. The pooling requirement is satisfied if the past owner allocates its expenditure on the fixtures to a pool in a chargeable period beginning on or before they cease to own the fixtures or they have claimed a first-year allowance in respect of all or part of the expenditure. (See 
                    <link anchor="a192197" href="w-031-3715" style="ACTLinkPLCtoPLC">
                      <ital>Practice note, Capital allowances: fixtures in buildings and on land: Pooling requirement</ital>
                    </link>
                    .) If the replies to the pre-contract enquiries reveal that the Seller (or a past owner) has not pooled its expenditure on the fixtures and the Buyer wishes to claim capital allowances on the fixtures, clause 15 should be amended to require the Seller to pool its expenditure. The definitions and clauses in 
                    <link href="w-008-9863" style="ACTLinkPLCtoPLC">
                      <ital>Standard clause, Capital allowances: clause providing for seller to pool its qualifying fixtures expenditure</ital>
                    </link>
                     can be inserted into this document for this purpose.
                  </paratext>
                </para>
                <para>
                  <paratext>
                    The fixed value requirement must be satisfied if the Seller (or any person who has owned the Property since April 2012) is required to bring a disposal value into account in respect of the fixtures under items 1, 5 or 9 of the table in section 196 of CAA 2001 (which includes the sale of the property at or above market value). The fixed value requirement is satisfied by the Seller and Buyer entering into a capital allowances section 198 election, obtaining a tribunal determination apportioning the amount attributable to the fixtures or obtaining specified written statements. This document is drafted on the basis that the Seller is required to bring a disposal value into account and the Seller and Buyer will enter into a section 198 election to satisfy the fixed value requirement. (See 
                    <link anchor="a259762" href="w-031-3715" style="ACTLinkPLCtoPLC">
                      <ital>Practice note, Capital allowances: fixtures in buildings and on land: Fixed value requirement</ital>
                    </link>
                     and 
                    <link anchor="a210727" href="w-031-3715" style="ACTLinkPLCtoPLC">
                      <ital>Section 198 and 199 elections</ital>
                    </link>
                    .) For guidance on making section 198 elections, see 
                    <internal.reference refid="a642183">Drafting note, Negotiating the election</internal.reference>
                    .
                  </paratext>
                </para>
                <para>
                  <paratext>
                    For guidance on replying to CPSE.1 Enquiry 32 on capital allowances, see 
                    <link href="7-575-0610" style="ACTLinkPLCtoPLC">
                      <ital>Practice note, Replying to CPSE.1 Enquiry 32 on capital allowances</ital>
                    </link>
                    .
                  </paratext>
                </para>
                <para>
                  <paratext>
                    For guidance on issues to consider when drafting and negotiating a clause in a commercial property sale contract dealing with plant and machinery capital allowances, see  
                    <link href="w-031-3715" style="ACTLinkPLCtoPLC">
                      <ital>Practice note, Capital allowances: fixtures in buildings and on land</ital>
                    </link>
                    .
                  </paratext>
                </para>
                <para>
                  <paratext>
                    <bold>Capital allowances on structures and buildings</bold>
                  </paratext>
                </para>
                <para>
                  <paratext>
                    Conveyancers should be aware that the contract might need to document the position regarding plant and machinery allowances 
                    <bold>and</bold>
                     capital allowances on structures and buildings (SBAs).
                  </paratext>
                </para>
                <para>
                  <paratext>
                    Broadly, SBAs may be claimable where there has been construction (including conversion and renovation) of a non-residential building that has begun on or after 29 October 2018. For more detailed information on how SBAs apply on sales of commercial property and the issues to be considered when drafting or negotiating SBAs provisions in a sale contract, see 
                    <link href="https://uk.practicallaw.thomsonreuters.com/w-023-1795?originationContext=document&amp;amp;transitionType=DocumentItem&amp;amp;contextData=(sc.Default)" style="ACTLinkURL">
                      <ital>Practice note, Property sales contracts: dealing with structures and buildings allowances</ital>
                    </link>
                    .
                  </paratext>
                </para>
                <para>
                  <paratext>Although this standard document contains optional wording in respect of plant and machinery allowances, it does not contain wording to deal with SBAs because currently, many purchases of second-hand buildings may not attract SBAs.</paratext>
                </para>
                <para>
                  <paratext>
                    If the Seller has incurred qualifying expenditure (for example, on the conversion or renovation of farm buildings) and the Buyer meets the conditions for SBAs to be available to it, this document should be amended to enable the Buyer to be able to claim SBAs on the residue of the qualifying expenditure. The Buyer should require the Seller to provide an allowance statement. The Buyer may also require a covenant from the Seller for it to use its reasonable endeavours to assist the Buyer in making any claim for SBAs. (See 
                    <link anchor="a673714" href="w-023-1795" style="ACTLinkPLCtoPLC">
                      <ital>Practice notes, Property sale contracts: dealing with structures and buildings allowances: Sale of used building by non-developer</ital>
                    </link>
                     and 
                    <link anchor="a197019" href="w-019-8982" style="ACTLinkPLCtoPLC">
                      <ital>Capital allowances for structures and buildings: Used buildings</ital>
                    </link>
                    .)
                  </paratext>
                </para>
                <para>
                  <paratext>
                    For a clause that may be included in the contract to oblige the Seller to provide an allowance statement in respect of qualifying expenditure incurred on the construction, renovation or conversion of a building comprising part of the Property, see 
                    <link href="https://uk.practicallaw.thomsonreuters.com/w-024-2960?originationContext=document&amp;amp;transitionType=DocumentItem&amp;amp;contextData=(sc.Default)" style="ACTLinkURL">
                      <ital>Standard clause, Structures and buildings capital allowances: clause requiring the seller to provide an allowance statement</ital>
                    </link>
                    .
                  </paratext>
                </para>
                <para>
                  <paratext>
                    For a standard form allowance statement, which must be created before a person makes a claim for SBAs, see 
                    <link href="https://uk.practicallaw.thomsonreuters.com/w-024-9404?originationContext=document&amp;amp;transitionType=DocumentItem&amp;amp;contextData=(sc.Default)" style="ACTLinkURL">
                      <ital>Standard document, Allowance statement for structures and buildings allowances</ital>
                    </link>
                    .
                  </paratext>
                </para>
                <para>
                  <paratext>
                    Note that the provisions that relate to capital allowances in condition B in Part 2 of the SCPC do not deal specifically with SBAs as they were drafted before SBAs were introduced. The SCPC (Third Edition) were revised in March 2018 to the SCPC (Third Edition – 2018 Revision). The 
                    <link href="https://uk.practicallaw.thomsonreuters.com/w-022-7280?originationContext=document&amp;amp;transitionType=PLDocumentLink&amp;amp;contextData=(sc.Default)" style="ACTLinkURL">
                      <ital>Capital Allowances (Structures and Buildings Allowances) Regulations 2019 (SI 2019/1087)</ital>
                    </link>
                     were made on 4 July 2019 (see 
                    <link href="https://uk.practicallaw.thomsonreuters.com/w-021-1246?originationContext=document&amp;amp;transitionType=DocumentItem&amp;amp;contextData=(sc.Default)" style="ACTLinkURL">
                      <ital>Legal update, Regulations introducing capital allowances for structures and buildings made</ital>
                    </link>
                    ). The regulations, which came into force on 5 July 2019, insert a new Part 2A into the Capital Allowances Act 2001. However, condition B2 may be construed as extending to SBAs (see 
                    <link href="https://uk.practicallaw.thomsonreuters.com/w-007-9006?originationContext=document&amp;amp;transitionType=DocumentItem&amp;amp;contextData=(sc.Default)" style="ACTLinkURL">
                      <ital>Practice note, SCPC B: Capital allowances (Standard Commercial Property Conditions, Third Edition – 2018 Revision)</ital>
                    </link>
                    . 
                    <internal.reference refid="a573833">Clause 3.6</internal.reference>
                    <ital> </ital>
                    of this standard document states that the Part 2 Conditions are not incorporated into this contract.
                  </paratext>
                </para>
                <para>
                  <paratext>
                    For general information on SBAs, see 
                    <link href="https://uk.practicallaw.thomsonreuters.com/w-019-8982?originationContext=document&amp;amp;transitionType=DocumentItem&amp;amp;contextData=(sc.Default)" style="ACTLinkURL">
                      <ital>Practice note, Capital allowances for structures and buildings</ital>
                    </link>
                    <ital>.</ital>
                  </paratext>
                </para>
              </division>
            </drafting.note>
            <subclause1 id="a109578">
              <para>
                <paratext>
                  The Seller and the Buyer shall, on completion, make a joint election under section 198 of the CAA 2001 in accordance with the provisions of 
                  <internal.reference refid="a98056">Schedule 8</internal.reference>
                   of this agreement.
                </paratext>
              </para>
            </subclause1>
          </clause>
          <clause id="a667035">
            <identifier>16.</identifier>
            <head align="left" preservecase="true">
              <headtext>Buyer's acknowledgement of condition</headtext>
            </head>
            <drafting.note id="a443381" jurisdiction="">
              <head align="left" preservecase="true">
                <headtext>Buyer's acknowledgement of condition</headtext>
              </head>
              <division id="a000066" level="1">
                <para>
                  <paratext>
                    The purpose of this clause is only to ensure that the Buyer takes the risk of any problem with the condition of the Property. It does not transfer environmental liability. If it is necessary to cover environmental liability, incorporate 
                    <link href="0-505-8665" style="ACTLinkPLCtoPLC">
                      <ital>Standard clause, Clauses to allocate environmental liability on sale of land</ital>
                    </link>
                    .
                  </paratext>
                </para>
                <para>
                  <paratext>
                    For information on excluding liability for the remediation of contaminated land, see 
                    <link href="0-508-4650" style="ACTLinkPLCtoPLC">
                      <ital>Practice note, Contaminated land regime: exclusion of liability</ital>
                    </link>
                    .
                  </paratext>
                </para>
              </division>
            </drafting.note>
            <para>
              <paratex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paratext>
            </para>
          </clause>
          <clause id="a124995">
            <identifier>17.</identifier>
            <head align="left" preservecase="true">
              <headtext>Tenant right</headtext>
            </head>
            <drafting.note id="a323894" jurisdiction="">
              <head align="left" preservecase="true">
                <headtext>Tenant right</headtext>
              </head>
              <division id="a000067" level="1">
                <para>
                  <paratext>The parties will generally involve a land agent in drafting a tenant right clause. They must amend the clause to reflect the type of farm, the time of year and the wishes of the parties. For example:</paratext>
                </para>
                <list type="bulleted">
                  <list.item>
                    <para>
                      <paratext>Are the items listed as Tenant Right appropriate?</paratext>
                    </para>
                  </list.item>
                  <list.item>
                    <para>
                      <paratext>
                        Are the parties happy with the valuation principles for those items (see 
                        <internal.reference refid="a632361">Drafting note, Tenant Right definition</internal.reference>
                        )?
                      </paratext>
                    </para>
                  </list.item>
                  <list.item>
                    <para>
                      <paratext>Who will carry out the valuation?</paratext>
                    </para>
                  </list.item>
                </list>
                <para>
                  <paratext>This clause offers two options:</paratext>
                </para>
                <list type="bulleted">
                  <list.item>
                    <para>
                      <paratext>
                        To include tenant right in the purchase price. In general, this is only appropriate where there is a short time between exchange and completion. If the parties choose this option, select the first option in 
                        <internal.reference refid="a173020">clause 17.1</internal.reference>
                         and delete the rest of the clause.
                      </paratext>
                    </para>
                  </list.item>
                  <list.item>
                    <para>
                      <paratext>
                        To define items of Tenant Right and clarify how the valuation will be carried out. If the parties choose this option, select the second option in 
                        <internal.reference refid="a173020">clause 17.1</internal.reference>
                        , delete the first option, and include the rest of the clause.
                      </paratext>
                    </para>
                  </list.item>
                </list>
                <para>
                  <paratext>
                    A third option is for the parties to specify in 
                    <internal.reference refid="a173020">clause 17.1</internal.reference>
                     the amount that the Buyer shall pay for all items of tenant right on completion in addition to the Purchase Price and delete the rest of the clause.
                  </paratext>
                </para>
                <para>
                  <paratext>Tenant right is compensation payable to an outgoing farmer (in this case the Seller) when leaving their property. It is intended to compensate the outgoing farmer for matters such as soil improvement work that will benefit the following year's harvest, growing crops left on the property and harvested crops and useful items left in store such as fuel, fertiliser, seed and pesticide.</paratext>
                </para>
                <division id="a728445" level="2">
                  <head align="left" preservecase="true">
                    <headtext>Meaning of growing crops in a tenant right context</headtext>
                  </head>
                  <para>
                    <paratext>
                      <internal.reference refid="a831440">clause 17.2(a)</internal.reference>
                       refers to growing crops. When the term "growing crops" is used in the context of tenant right, this has a specific meaning that is well understood by land agents. Its meaning is derived from the rights of a tenant of an agricultural holding under the AHA 1986 to compensation for growing crops, meaning crops grown on the holding in the last year of the tenancy (
                      <ital>paragraph 7, Part II, Schedule 8, AHA 1986</ital>
                      ). For the purposes of a tenant right valuation (in the context of a tenancy or a contract for sale), growing crops are not restricted to crops sown or planted in the last year of the tenancy. The term includes not only annual crops, but also pastures and permanent crops such as asparagus, biomass crops, fruit crops, horseradish and rhubarb.
                    </paratext>
                  </para>
                </division>
              </division>
            </drafting.note>
            <subclause1 id="a173020">
              <identifier>17.1</identifier>
              <para>
                <paratext>
                  [The value of all items of tenant right is included in the Purchase Price. 
                  <bold>OR </bold>
                  The Buyer will pay to the Seller in addition to the Purchase Price an amount equal to the value of the Tenant Right as at the date of completion, the value to be determined in accordance with this clause.
                </paratext>
              </para>
            </subclause1>
            <subclause1 id="a263033">
              <identifier>17.2</identifier>
              <para>
                <paratext>
                  For the purposes of this clause, 
                  <defn.term>Tenant Right</defn.term>
                   means the following items:
                </paratext>
              </para>
              <subclause2 id="a831440">
                <identifier>(a)</identifier>
                <para>
                  <paratext>growing crops (where included in the sale) and enhancement where appropriate, seeds sown, cultivations, fallows and acts of husbandry since the removal of the last preceding crop, including [INSERT DETAILS];</paratext>
                </para>
                <drafting.note id="a715957" jurisdiction="">
                  <head align="left" preservecase="true">
                    <headtext>Enhancement</headtext>
                  </head>
                  <division id="a000068" level="1">
                    <para>
                      <paratext>
                        <internal.reference refid="a831440">clause 17.2(a)</internal.reference>
                         refers to enhancement. It may be appropriate to pay an enhanced value for growing crops that are healthy and relatively advanced.
                      </paratext>
                    </para>
                  </division>
                </drafting.note>
              </subclause2>
              <subclause2 id="a828587">
                <identifier>(b)</identifier>
                <para>
                  <paratext>residual and unexhausted values of manure, fertiliser, soil improvers and digestate (whether organic or inorganic), lime and slag applied to the Property;</paratext>
                </para>
              </subclause2>
              <subclause2 id="a111801">
                <identifier>(c)</identifier>
                <para>
                  <paratext>hay, straw and silage made on the Property and retained on the Property but excluding any that the Seller has any right to sell or to remove from the Property; [and]</paratext>
                </para>
              </subclause2>
              <subclause2 id="a403105">
                <identifier>(d)</identifier>
                <para>
                  <paratext>
                    seeds, sprays, fertilisers, chemicals, fuel and oil in store, usable and in date, and retained on the Property but excluding any that the Seller has any right to sell or to remove from the Property[. 
                    <bold>OR</bold>
                    ; and]
                  </paratext>
                </para>
              </subclause2>
              <subclause2 condition="optional" id="a138980">
                <identifier>(e)</identifier>
                <para>
                  <paratext>OTHER ITEMS OF TENANT RIGHT.</paratext>
                </para>
                <drafting.note id="a632361" jurisdiction="">
                  <head align="left" preservecase="true">
                    <headtext>Tenant Right definition</headtext>
                  </head>
                  <division id="a000069" level="1">
                    <para>
                      <paratext>
                        Amend the definition of Tenant Right in 
                        <internal.reference refid="a263033">clause 17.2</internal.reference>
                         to cover the tenant right items relevant to the transaction. For example in areas of the country where arable crops can be grown on the Property in an unbroken series of at least six years, tenant right might include the residual fertility value of the sod of the excess qualifying leys on the holding, if any, within the meaning of paragraph 11 to Schedule 8 of the AHA 1986.
                      </paratext>
                    </para>
                    <para>
                      <paratext>
                        Machinery, equipment and livestock are not included in tenant right, but may be included in the Purchase Price. See 
                        <internal.reference refid="a426273">clause 2.2</internal.reference>
                         for optional apportionments for Plant, Equipment and Machinery and for Livestock.
                      </paratext>
                    </para>
                    <para>
                      <paratext>
                        <internal.reference refid="a523787">clause 17.3</internal.reference>
                         sets out general valuation principles for all items of Tenant Right in accordance with the 
                        <link href="1-526-6490" style="ACTLinkPLCtoPLC">
                          <ital>Agriculture (Calculation of Value for Compensation) Regulations 1978 (SI 1978/809)</ital>
                        </link>
                         (1978 Regulations) and CAAV prices and recommendations (see 
                        <internal.reference refid="a831224">Drafting note, Agriculture (Calculation of Value for Compensation) Regulations 1978</internal.reference>
                        ). However, the parties may prefer instead to specify a more precise basis of valuation for each item in the Tenant Right definition.
                      </paratext>
                    </para>
                    <para>
                      <paratext>If the parties decide instead to specify the basis of valuation for each item of tenant right, there are various different approaches to choose from, such as invoice cost, market value or the current CAAV costings schedule.</paratext>
                    </para>
                  </division>
                </drafting.note>
              </subclause2>
            </subclause1>
            <subclause1 id="a523787">
              <identifier>17.3</identifier>
              <para>
                <paratext>
                  The valuation of the Tenant Right shall be carried out in accordance with the Agriculture (Calculation of Value for Compensation) Regulations 1978 (SI 1978/809) and the prices and recommendations of the [Central 
                  <bold>OR</bold>
                   Lincolnshire] Association of Agricultural Valuers and, for the purposes of such valuation, the Completion Date is deemed to be the date of termination of a yearly tenancy to which the Agricultural Holdings Act 1986 applied, the last year of which commenced one year before the Completion Date, with the Buyer deemed to be the landlord and the Seller deemed to be the outgoing tenant and all relevant notices are deemed to have been served for the purposes of such valuation.
                </paratext>
              </para>
              <drafting.note id="a831224" jurisdiction="">
                <head align="left" preservecase="true">
                  <headtext>Agriculture (Calculation of Value for Compensation) Regulations 1978</headtext>
                </head>
                <division id="a000070" level="1">
                  <para>
                    <paratext>
                      The 1978 Regulations set out detailed rules for the calculation of compensation for short term improvements to land on the termination of an agricultural tenancy under the AHA 1986. The 
                      <link href="0-619-1692" style="ACTLinkPLCtoPLC">
                        <ital>Agriculture (Calculation of Value for Compensation) (Revocations) (England) Regulations 2015 (SI 2015/327</ital>
                      </link>
                       revoked the 1978 Regulations in relation to England as from 1 October 2015.
                    </paratext>
                  </para>
                  <para>
                    <paratext>
                      Although the 1978 Regulations did not automatically apply to a contract for sale, it is common for the parties to agree that the tenant right valuation will be carried out in accordance with 1978 Regulations. The valuation method is incorporated into the contract by reference. 
                      <internal.reference refid="a523787">clause 17.3</internal.reference>
                       contains wording enabling the valuation to apply to the circumstances under the contract, instead of the usual tenancy situation.
                    </paratext>
                  </para>
                </division>
              </drafting.note>
            </subclause1>
            <subclause1 id="a672333">
              <identifier>17.4</identifier>
              <para>
                <paratext>
                  The amount of the valuation shall be [assessed by the Seller's Agent whose decision shall be final and binding on the parties. 
                  <bold>OR</bold>
                   agreed by the Seller's Agent and the Buyer's Agent and, if not agreed within two weeks after completion, shall be determined by an Expert in accordance with 
                  <internal.reference refid="a318431">clause 26</internal.reference>
                  . Completion shall not be delayed on the ground that the amount of the valuation has not been determined.] The Buyer shall pay that amount in full to the Seller on completion or within [seven] days of it being determined (whichever is the later) and, if not paid on that date, the Buyer shall in addition pay interest on that amount at the Contract Rate for the period from and including that date to and including the date of actual payment.
                </paratext>
              </para>
              <drafting.note id="a340885" jurisdiction="">
                <head align="left" preservecase="true">
                  <headtext>Payment on account</headtext>
                </head>
                <division id="a000071" level="1">
                  <para>
                    <paratext>
                      If the parties choose the second option in 
                      <internal.reference refid="a672333">clause 17.4</internal.reference>
                      , the Seller might want to add drafting to oblige the Buyer to make part payment to the Seller on account of the valuation if the valuation is not agreed by completion.
                    </paratext>
                  </para>
                </division>
              </drafting.note>
            </subclause1>
            <subclause1 id="a256933">
              <identifier>17.5</identifier>
              <para>
                <paratext>The Buyer shall not make any counterclaim for dilapidations or any other matters.]</paratext>
              </para>
            </subclause1>
          </clause>
          <clause condition="optional" id="a231808">
            <identifier>18.</identifier>
            <head align="left" preservecase="true">
              <headtext>Holdover</headtext>
            </head>
            <drafting.note id="a458914" jurisdiction="">
              <head align="left" preservecase="true">
                <headtext>Holdover (optional clause)</headtext>
              </head>
              <division id="a000072" level="1">
                <para>
                  <paratext>Holdover refers to the Seller's rights in relation to the Property following completion. Holdover arrangements will vary according to the type of farm, crops grown and the geographical location and this clause should be amended as appropriate.</paratext>
                </para>
                <para>
                  <paratext>
                    <internal.reference refid="a479008">clause 18.4</internal.reference>
                     includes the following rights:
                  </paratext>
                </para>
                <list type="bulleted">
                  <list.item>
                    <para>
                      <paratext>
                        Rights to harvest Growing Crops. The definition of Growing Crops in 
                        <internal.reference refid="a969129">clause 18.2</internal.reference>
                         includes options to include all the crops growing on the Property at the time of completion, or just crops growing in specified fields.
                      </paratext>
                    </para>
                  </list.item>
                  <list.item>
                    <para>
                      <paratext>Rights to store crops and remove them at a later date. Examples of crops in store are grain in a grain store and fodder on silage clamps.</paratext>
                    </para>
                  </list.item>
                  <list.item>
                    <para>
                      <paratext>Rights of access. The Buyer may want to add drafting to restrict access rights to certain times or certain routes.</paratext>
                    </para>
                  </list.item>
                </list>
                <para>
                  <paratext>Consider attaching a Plan identifying the locations specified in this clause, such as storage areas and access routes. The Seller will usually continue to insure the Property until completion. If the Seller is granted holdover rights, the Seller should also retain insurance for the items left on the Property after completion.</paratext>
                </para>
                <para>
                  <paratext>
                    The definition of the Holdover Period in 
                    <internal.reference refid="a120984">clause 18.1</internal.reference>
                     gives a single longstop date. The parties may prefer to amend the definition of Holdover Period in 
                    <internal.reference refid="a120984">clause 18.1</internal.reference>
                     to refer to more than one date, such as specifying an earlier date for harvesting the Growing Crops, and a later date for storage. (If making amendments, note that the definition of Holdover Period is also used in, 
                    <internal.reference refid="a768847">clause 22.2</internal.reference>
                     and 
                    <internal.reference refid="a729418">clause 23.3</internal.reference>
                    .)
                  </paratext>
                </para>
                <para>
                  <paratext>
                    <internal.reference refid="a1052122">clause 18.5(a)</internal.reference>
                     provides for the recovery of any service costs incurred by the Buyer during the Holdover Period, such as electricity used in any grain drying equipment. The Buyer may want to add drafting to 
                    <internal.reference refid="a509649">clause 18.5(b)</internal.reference>
                    , in addition to the existing obligation regarding damage, to oblige the Seller not to cause any nuisance, annoyance, inconvenience and disturbance. The Buyer may also want to add the optional indemnity in 
                    <internal.reference refid="a993902">clause 18.5(c)</internal.reference>
                    .
                  </paratext>
                </para>
              </division>
            </drafting.note>
            <subclause1 id="a120984">
              <identifier>18.1</identifier>
              <para>
                <paratext>
                  The 
                  <defn.term>Holdover Period</defn.term>
                   means the period from and including the date of completion to and including [INSERT DATE] or, in respect of each item listed in 
                  <internal.reference refid="a479008">clause 18.4</internal.reference>
                  , the earlier date that the Seller removes the item from the Property.
                </paratext>
              </para>
            </subclause1>
            <subclause1 id="a969129">
              <identifier>18.2</identifier>
              <para>
                <paratext>
                  The 
                  <defn.term>Growing Crops</defn.term>
                   means the [unharvested arable] crops growing on the [Property 
                  <bold>OR</bold>
                   fields hatched [orange] on the Plan] at the time of completion. The Growing Crops are reserved to the Seller and are excluded from the sale.
                </paratext>
              </para>
              <drafting.note id="a550908" jurisdiction="">
                <head align="left" preservecase="true">
                  <headtext>Growing Crops definition for holdover purposes</headtext>
                </head>
                <division id="a000073" level="1">
                  <para>
                    <paratext>
                      The definition of Growing Crops in 
                      <internal.reference refid="a969129">clause 18.2</internal.reference>
                       includes options to define growing crops more tightly than the definition usually encountered in a sale contract, which tends to refer to the crops growing on the Property at the time of completion. The clause enables the parties to restrict this definition to either or both of the following:
                    </paratext>
                  </para>
                  <list type="bulleted">
                    <list.item>
                      <para>
                        <paratext>Arable crops (annual crops grown on land that is regularly worked by tilling or ploughing, such as cereals, oilseed rape, pulses such as peas and beans, root crops and potatoes).</paratext>
                      </para>
                    </list.item>
                    <list.item>
                      <para>
                        <paratext>Crops growing in specified fields.</paratext>
                      </para>
                    </list.item>
                  </list>
                  <para>
                    <paratext>
                      The parties should make any other amendments to this clause required to reflect the types of crop on the Property and their intentions, and must amend 
                      <internal.reference refid="a920133">clause 2.4</internal.reference>
                       to tally with the holdover rights in relation to growing crops.
                    </paratext>
                  </para>
                  <para>
                    <paratext>In the absence of any express definition, the meaning of the term "growing crops" or "crops growing on the Property" depends on the context. When used in a holdover context, it is usually taken to mean the crops that a farmer would normally harvest in the course of the farming year. This would include not only crops sown on an annual cycle (chattels), but also (where relevant) multi-annual crops such as fruit.</paratext>
                  </para>
                </division>
              </drafting.note>
            </subclause1>
            <subclause1 id="a479745">
              <identifier>18.3</identifier>
              <para>
                <paratext>
                  The 
                  <defn.term>Services</defn.term>
                   means the supply of electricity [and water] [and [OTHER SERVICES]] to the Property during the Holdover Period.
                </paratext>
              </para>
            </subclause1>
            <subclause1 id="a479008">
              <identifier>18.4</identifier>
              <para>
                <paratext>The Seller, and all persons authorised by the Seller and reasonably required by the Seller to exercise the rights in this clause, shall have the following rights during the Holdover Period:</paratext>
              </para>
              <subclause2 id="a690547">
                <identifier>(a)</identifier>
                <para>
                  <paratext>the right to retain and harvest the Growing Crops;</paratext>
                </para>
              </subclause2>
              <subclause2 id="a895744">
                <identifier>(b)</identifier>
                <para>
                  <paratext>the right to store and dry [IDENTIFY CROP] in the [IDENTIFY CROP STORAGE AREA OR SILAGE CLAMP AREA]; and</paratext>
                </para>
              </subclause2>
              <subclause2 id="a211101">
                <identifier>(c)</identifier>
                <para>
                  <paratext>the right to enter onto the Property with or without vehicles, plant and machinery for the purposes referred to in this clause.</paratext>
                </para>
              </subclause2>
            </subclause1>
            <subclause1 id="a816613">
              <identifier>18.5</identifier>
              <para>
                <paratext>
                  The exercise of the rights listed in 
                  <internal.reference refid="a479008">clause 18.4</internal.reference>
                   are subject to the Seller:
                </paratext>
              </para>
              <subclause2 id="a1052122">
                <identifier>(a)</identifier>
                <para>
                  <paratext>paying to the Buyer the cost of the Services used in connection with the exercise of those rights; [and]</paratext>
                </para>
              </subclause2>
              <subclause2 id="a509649">
                <identifier>(b)</identifier>
                <para>
                  <paratext>
                    causing as little damage as practicable to the Property [and if any damage is caused by the Seller or any person authorised by the Seller, the Seller shall as soon as possible and at the Seller's own expense make good that damage][; and 
                    <bold>OR</bold>
                     .]
                  </paratext>
                </para>
              </subclause2>
              <subclause2 condition="optional" id="a993902">
                <identifier>(c)</identifier>
                <para>
                  <paratext>indemnifying the Buyer and keeping the Buyer indemnified against all losses, claims, demands, actions, proceedings, damages, costs, expenses or other liability in any way arising from the exercise of those rights.</paratext>
                </para>
              </subclause2>
            </subclause1>
            <subclause1 id="a777504">
              <identifier>18.6</identifier>
              <para>
                <paratext>
                  The items listed in 
                  <internal.reference refid="a479008">clause 18.4</internal.reference>
                   are stored at the Seller's own risk and the Buyer is not liable for any loss or deterioration of the items, however occurring, including occurring as a result of any interruption or disruption to the provision of any of the Services whether or not within the reasonable control of the Buyer.
                </paratext>
              </para>
            </subclause1>
          </clause>
          <clause condition="optional" id="a148238">
            <identifier>19.</identifier>
            <head align="left" preservecase="true">
              <headtext>Auction sale</headtext>
            </head>
            <drafting.note id="a617583" jurisdiction="">
              <head align="left" preservecase="true">
                <headtext>Auction sale (optional clause)</headtext>
              </head>
              <division id="a000074" level="1">
                <para>
                  <paratext>The Seller may want to reserve the right to hold an auction sale on the Property, between exchange of contracts and completion, of livestock or large items of farm machinery and plant that are not to be included in the sale to the Buyer. This clause simply states that the auction can take place between exchange and completion and does not provide that the auction is to be on a date to be agreed. This avoids the need for any complex mechanism for dealing with consent. The parties may want a fixed date to be identified in the contract or to have some mechanism for agreeing the date. This will depend on the Property, its location, the items to be sold at the proposed auction and all the other circumstances of the transaction.</paratext>
                </para>
              </division>
            </drafting.note>
            <subclause1 id="a261687">
              <identifier>19.1</identifier>
              <para>
                <paratext>
                  The Seller and Buyer agree that the Seller may, on a date between the date of this contract and the date of completion, hold an auction sale of the items listed in 
                  <internal.reference refid="a740391">Schedule 9</internal.reference>
                   [on the field marked "X" on the Plan 
                  <bold>OR</bold>
                   SPECIFY LOCATION].
                </paratext>
              </para>
            </subclause1>
            <subclause1 id="a197906">
              <identifier>19.2</identifier>
              <para>
                <paratext>This right is subject to the Seller causing as little damage as practicable to the Property and if any damage is caused, the Seller shall as soon as possible and at the Seller's own expense make good that damage.</paratext>
              </para>
            </subclause1>
            <subclause1 id="a387032">
              <identifier>19.3</identifier>
              <para>
                <paratext>The Seller must ensure that anything sold at the auction sale is removed from the Property before the date of completion.</paratext>
              </para>
            </subclause1>
          </clause>
          <clause condition="optional" id="a186918">
            <identifier>20.</identifier>
            <head align="left" preservecase="true">
              <headtext>Early access rights</headtext>
            </head>
            <drafting.note id="a676805" jurisdiction="">
              <head align="left" preservecase="true">
                <headtext>Early access rights (optional clause)</headtext>
              </head>
              <division id="a000075" level="1">
                <para>
                  <paratext>It may be appropriate to include early access rights for the Buyer, particularly if completion is to take place on the traditional dates for completion (29 September or 11 October). By these dates, the harvest may have been completed and the land may be available for ploughing and drilling. Early access allows the Buyer to begin cultivations for the next year's crop.</paratext>
                </para>
                <para>
                  <paratext>
                    Amend the clause to match the parties’ agreement and to avoid any inconsistency with other clauses such as 
                    <internal.reference refid="a124995">clause 17</internal.reference>
                     (tenant right) and 
                    <internal.reference refid="a231808">clause 18</internal.reference>
                     (holdover). For example, if the Seller has the right to harvest Growing Crops on the Property under 
                    <internal.reference refid="a231808">clause 18</internal.reference>
                    , the Buyer's early access rights to begin crop cultivations should be postponed until the Seller has harvested the Growing Crops. Any current contract farming agreements must also be taken into account.
                  </paratext>
                </para>
                <division id="a492583" level="2">
                  <head align="left" preservecase="true">
                    <headtext>SDLT implications</headtext>
                  </head>
                  <para>
                    <paratext>
                      As a general rule, the liability to stamp duty land tax (SDLT) will arise at completion and any land transaction return and SDLT due will have to be submitted and paid within 14 days of the date of completion (
                      <link href="6-507-1126" style="ACTLinkPLCtoPLC">
                        <ital>section 76(1)</ital>
                      </link>
                      <ital> </ital>
                      and
                      <ital> </ital>
                      <link href="3-508-5846" style="ACTLinkPLCtoPLC">
                        <ital>section 86(1)</ital>
                      </link>
                      <ital>, </ital>
                      <link href="7-106-7152" style="ACTLinkPLCtoPLC">
                        <ital>Finance Act 2003</ital>
                      </link>
                      ). However, if the Buyer's early access rights mean that the contract is substantially performed before being completed, the liability to SDLT will instead arise earlier, on the date of substantial performance (
                      <link href="9-507-4939" style="ACTLinkPLCtoPLC">
                        <ital>section 44(1)-(3)</ital>
                      </link>
                      <ital>, Finance Act 2003</ital>
                      .
                    </paratext>
                  </para>
                  <para>
                    <paratext>Substantial performance is a question of fact, having regard to the circumstances of each transaction. A contract is substantially performed when either of the following occurs:</paratext>
                  </para>
                  <list type="bulleted">
                    <list.item>
                      <para>
                        <paratext>The buyer or a person connected with the buyer takes possession of the whole or substantially the whole of the land.</paratext>
                      </para>
                    </list.item>
                    <list.item>
                      <para>
                        <paratext>The whole or a substantial amount of the consideration is paid or provided.</paratext>
                      </para>
                    </list.item>
                  </list>
                  <para>
                    <paratext>
                      It is immaterial whether possession is taken under the contract or under a temporary licence or lease. (
                      <ital>Section 44(5) and (6), Finance Act 2003</ital>
                      .)
                    </paratext>
                  </para>
                  <para>
                    <paratext>
                      For more information, see 
                      <link href="w-006-4227" style="ACTLinkPLCtoPLC">
                        <ital>Practice note, SDLT: substantial performance</ital>
                      </link>
                      .
                    </paratext>
                  </para>
                </division>
                <division id="a575443" level="2">
                  <head align="left" preservecase="true">
                    <headtext>Contaminated land</headtext>
                  </head>
                  <para>
                    <paratext>The parties should consider how early access rights may affect their respective responsibilities in relation to contaminated land.</paratext>
                  </para>
                  <para>
                    <paratext>Liability for the remediation of contaminated land rests:</paratext>
                  </para>
                  <list type="bulleted">
                    <list.item>
                      <para>
                        <paratext>In the first instance, on those who caused or knowingly permitted the contamination (Class A persons).</paratext>
                      </para>
                    </list.item>
                    <list.item>
                      <para>
                        <paratext>If no Class A person can be found, liability passes to the current owners and occupiers of the site, regardless of whether they were aware of the contamination (Class B persons).</paratext>
                      </para>
                    </list.item>
                  </list>
                  <para>
                    <paratext>
                      For more information on contaminated land, see 
                      <link href="8-382-8300" style="ACTLinkPLCtoPLC">
                        <ital>Practice note, Contaminated land regime: overview</ital>
                      </link>
                      <ital>.</ital>
                    </paratext>
                  </para>
                </division>
              </division>
            </drafting.note>
            <subclause1 id="a881707">
              <identifier>20.1</identifier>
              <para>
                <paratext>
                  The Seller permits the Buyer and the Buyer's employees, agents, contractors and professional advisors to enter [such parts of the Property as are reasonably necessary 
                  <bold>OR</bold>
                   that part of the Property shown [hatched blue] on the Plan] [using the access shown coloured [yellow] on the Plan] to carry out the Works.
                </paratext>
              </para>
            </subclause1>
            <subclause1 id="a671640">
              <identifier>20.2</identifier>
              <para>
                <paratext>Before exercising the rights under this clause the Buyer shall:</paratext>
              </para>
              <subclause2 id="a588781">
                <identifier>(a)</identifier>
                <para>
                  <paratext>obtain the Seller's consent to the Buyer's proposed Works[, such consent not to be unreasonably withheld or delayed];</paratext>
                </para>
              </subclause2>
              <subclause2 id="a368518">
                <identifier>(b)</identifier>
                <para>
                  <paratext>obtain the Seller's consent to the locations where the Buyer will store any vehicles, plant or machinery on the Property in connection with the Works;</paratext>
                </para>
              </subclause2>
              <subclause2 id="a763727">
                <identifier>(c)</identifier>
                <para>
                  <paratext>give the Seller not less than [five] working days' notice of the intention to exercise the rights under this clause; and</paratext>
                </para>
              </subclause2>
              <subclause2 id="a175396">
                <identifier>(d)</identifier>
                <para>
                  <paratext>
                    pay to the Seller's Conveyancer as stakeholder an additional deposit equal to [10]% of the Purchase Price to be held on the same terms as the Deposit under 
                    <internal.reference refid="a354685">clause 5</internal.reference>
                    .
                  </paratext>
                </para>
              </subclause2>
            </subclause1>
            <subclause1 id="a243045">
              <identifier>20.3</identifier>
              <para>
                <paratext>The Buyer acknowledges that:</paratext>
              </para>
              <subclause2 id="a578100">
                <identifier>(a)</identifier>
                <para>
                  <paratext>the Buyer shall exercise the rights under this clause as a licensee and that no relationship of landlord and tenant is created between the Seller and the Buyer by the rights granted by this clause;</paratext>
                </para>
              </subclause2>
              <subclause2 id="a623760">
                <identifier>(b)</identifier>
                <para>
                  <paratext>the rights granted by this clause are personal to the Buyer and are not assignable and may only be exercised by the Buyer, and the Buyer's employees, agents, contractors and professional advisors; and</paratext>
                </para>
              </subclause2>
              <subclause2 id="a222232">
                <identifier>(c)</identifier>
                <para>
                  <paratext>the Seller retains control, possession and management of the Property at all times and the Buyer has no right to exclude the Seller from the Property.</paratext>
                </para>
              </subclause2>
            </subclause1>
            <subclause1 id="a771025">
              <identifier>20.4</identifier>
              <para>
                <paratext>The Buyer agrees and undertakes:</paratext>
              </para>
              <subclause2 id="a525196">
                <identifier>(a)</identifier>
                <para>
                  <paratext>to carry out the Works in a good and workmanlike manner consistent with the best relevant farming practices and with the degree of skill, care and diligence as is reasonably to be expected of skilled, competent and properly qualified professional persons experienced in farming;</paratext>
                </para>
              </subclause2>
              <subclause2 id="a418328">
                <identifier>(b)</identifier>
                <para>
                  <paratext>in exercising the rights under this clause, to comply with all laws and the Seller's reasonable requirements;</paratext>
                </para>
              </subclause2>
              <subclause2 id="a780438">
                <identifier>(c)</identifier>
                <para>
                  <paratext>to pay to the Seller the cost of services used in connection with the exercise of the rights under this clause;</paratext>
                </para>
              </subclause2>
              <subclause2 id="a250734">
                <identifier>(d)</identifier>
                <para>
                  <paratext>to prevent any damage to the Property and, if any damage is caused by the Buyer or the Buyer's employees, agents, contractors or professional advisors, the Buyer shall as soon as possible and at the Buyer’s own expense make good that damage;</paratext>
                </para>
              </subclause2>
              <subclause2 id="a554911">
                <identifier>(e)</identifier>
                <para>
                  <paratext>to indemnify the Seller and keep the Seller indemnified against all losses (including any diminution in the value of the Seller's interest in the Property), claims, demands, actions, proceedings, damages, costs, expenses or other liability in any way arising from:</paratext>
                </para>
                <subclause3 id="a348424">
                  <identifier>(i)</identifier>
                  <para>
                    <paratext>the exercise of any of the rights granted by this clause;</paratext>
                  </para>
                </subclause3>
                <subclause3 id="a967886">
                  <identifier>(ii)</identifier>
                  <para>
                    <paratext>the presence on the Property of, and anything done on the Property by, the Buyer or the Buyer's employees, agents, contractors or professional advisors; or</paratext>
                  </para>
                </subclause3>
                <subclause3 id="a909166">
                  <identifier>(iii)</identifier>
                  <para>
                    <paratext>any breach of any of the provisions of this clause.</paratext>
                  </para>
                </subclause3>
              </subclause2>
            </subclause1>
            <subclause1 id="a272277">
              <identifier>20.5</identifier>
              <para>
                <paratext>The Buyer's rights under this clause shall end on the earlier of:</paratext>
              </para>
              <subclause2 id="a733345">
                <identifier>(a)</identifier>
                <para>
                  <paratext>the date of completion; and</paratext>
                </para>
              </subclause2>
              <subclause2 id="a350140">
                <identifier>(b)</identifier>
                <para>
                  <paratext>the date that this contract is rescinded.</paratext>
                </para>
              </subclause2>
            </subclause1>
            <subclause1 id="a424362">
              <identifier>20.6</identifier>
              <para>
                <paratext>
                  If the Buyer's rights under this clause are terminated under 
                  <internal.reference refid="a350140">clause 20.5(b)</internal.reference>
                  :
                </paratext>
              </para>
              <subclause2 id="a991859">
                <identifier>(a)</identifier>
                <para>
                  <paratext>as a result of the Seller rescinding the contract, the Buyer shall not be entitled to any compensation for any seeds, cultivations or acts of husbandry; and</paratext>
                </para>
              </subclause2>
              <subclause2 id="a174579">
                <identifier>(b)</identifier>
                <para>
                  <paratext>as a result of the Buyer rescinding the contract, the Seller shall pay full compensation to the Buyer for any seeds, cultivations and acts of husbandry.</paratext>
                </para>
              </subclause2>
            </subclause1>
          </clause>
          <clause condition="optional" id="a294234">
            <identifier>21.</identifier>
            <head align="left" preservecase="true">
              <headtext>Delinked payments</headtext>
            </head>
            <drafting.note id="a245336" jurisdiction="">
              <head align="left" preservecase="true">
                <headtext>Delinked payments (optional clause)</headtext>
              </head>
              <division id="a000076" level="1">
                <para>
                  <paratext>
                    Under the AA 2020 BPS and Cross compliance ended on 31 December 2023. Delinked payments began 1 January 2024 and will be reduced out phased out by 2027. Farm support is in the form of Environmental Land Management schemes. For more information, see 
                    <link href="w-041-4970" style="ACTLinkPLCtoPLC">
                      <ital>Practice note, Delinked payments</ital>
                    </link>
                    .
                  </paratext>
                </para>
              </division>
            </drafting.note>
            <subclause1 id="a435636">
              <identifier>21.1</identifier>
              <para>
                <paratext>For the avoidance of doubt any Delinked Payment remain with the Seller.</paratext>
              </para>
            </subclause1>
          </clause>
          <clause condition="optional" id="a483520">
            <identifier>22.</identifier>
            <head align="left" preservecase="true">
              <headtext>Agri-environment Agreements</headtext>
            </head>
            <drafting.note id="a142268" jurisdiction="">
              <head align="left" preservecase="true">
                <headtext>Agri-environment Agreements (optional clause)</headtext>
              </head>
              <division id="a000077" level="1">
                <para>
                  <paratext>This clause is for use where the Property is subject to an Agri-environment agreements which are capable of being transferred, such as Countryside Stewardship agreement. If the Buyer fails to take over the agreement, the Seller potentially will be in breach and liable to repay the grant unless it has been agreed otherwise with the RPA The clause is drafted on the assumption that any agreement applies only to the Property and does not affect any neighbouring land.</paratext>
                </para>
                <para>
                  <paratext>
                    Parties should check under the latest guidance whether the schemes may be transferred or whether there is a risk that if the seller sells before the end of the agreement period, they may not get paid and may even have to repay anything that they have received so far. Parties will need to review the scheme rules at the point of exchange and determine how any potential risk of repayment will be dealt with. See 
                    <link href="w-027-8456" style="ACTLinkPLCtoPLC">
                      <ital>Practice note, Environmental Land Management (ELM) and other rural support in England</ital>
                    </link>
                    .
                  </paratext>
                </para>
                <para>
                  <paratext>
                    For information on apportionment of payments under Condition 9.3, which is referred to in 
                    <internal.reference refid="a159422">clause 22.3</internal.reference>
                    , see 
                    <link href="w-007-9013" style="ACTLinkPLCtoPLC">
                      <ital>Practice note, SCPC 9: Completion (Standard Commercial Property Conditions, Third Edition – 2018 Revision)</ital>
                    </link>
                    .
                  </paratext>
                </para>
                <para>
                  <paratext>An Environmental Stewardship agreement will generally impose the following requirements:</paratext>
                </para>
                <list type="bulleted">
                  <list.item>
                    <para>
                      <paratext>The original applicant to the Agri-environment Agreement must notify the Rural Payments Agency (RPA) of any transfer of land or change of occupancy. The notification should be made as soon as possible, and in any event within three months following any change of occupation or ownership. Failure to inform the RPA of the change of ownership or occupancy constitutes a breach of the scheme agreement.</paratext>
                    </para>
                  </list.item>
                  <list.item>
                    <para>
                      <paratext>If the Buyer chooses not to continue with the Agri-environment Agreement and the RPA does not receive an application from the Buyer within four months following the actual date of transfer, the Seller will be in breach of the Seller's agreement and liable to repay all or part of any of the grant that the Seller may have received.</paratext>
                    </para>
                  </list.item>
                </list>
                <para>
                  <paratext>
                    For general information on transferring Environmental Stewardship agreements, see 
                    <link href="https://www.gov.uk/government/publications/environmental-stewardship-additions-transfers-and-option-changes-to-existing-agreements/environmental-stewardship-additions-transfers-and-option-changes-to-existing-agreements" style="ACTLinkURL">
                      <ital>Defra: Environmental Stewardship: additions, transfers and option changes to existing agreements</ital>
                    </link>
                    .
                  </paratext>
                </para>
              </division>
            </drafting.note>
            <subclause1 id="a1002446">
              <identifier>22.1</identifier>
              <para>
                <paratext>The Buyer:</paratext>
              </para>
              <subclause2 id="a53244">
                <identifier>(a)</identifier>
                <para>
                  <paratext>
                    warrants that the Buyer will observe and comply with the terms and conditions of the Agri-environment Agreements from completion as if a party to the Agri-environment Agreements in place of the Seller, and will indemnify the Seller and keep the Seller indemnified against all liabilities, costs, expenses, damages and losses suffered or incurred by the Seller arising out of or in connection with any breach by the Buyer or the Buyer's employees, agents or contractors of any terms or conditions of the Agri-environment Agreements after completion [or during the earlier access period granted under 
                    <internal.reference refid="a186918">clause 20</internal.reference>
                    ];
                  </paratext>
                </para>
              </subclause2>
              <subclause2 id="a722122">
                <identifier>(b)</identifier>
                <para>
                  <paratext>
                    will use [best 
                    <bold>OR</bold>
                     reasonable] endeavours to take over the obligations of the Seller under the Agri-environment Agreements on completion including but not limited to completing transfer forms in the relevant periods, and will keep the Seller indemnified against all liabilities, costs, expenses, damages and losses suffered or incurred by the Seller arising out of or in connection with any breach of this requirement by the Buyer or the Buyer's employees, agents or contractors except where the breach arises from an act or omission of the Seller; and
                  </paratext>
                </para>
              </subclause2>
              <subclause2 id="a715486">
                <identifier>(c)</identifier>
                <para>
                  <paratext>will do everything required as successor to the Agri-environment Agreements to ensure that payments under the Agri-environment Agreements made to the Seller are not repayable by the Seller to the RPA or Natural England.</paratext>
                </para>
              </subclause2>
            </subclause1>
            <subclause1 id="a768847">
              <identifier>22.2</identifier>
              <para>
                <paratext>The Seller warrants that the Seller has observed and complied with the terms and conditions of the Agri-environment Agreements and will continue to do so until completion, and that up to the date of this contract the Seller has not received notification of any breach. [The Seller will indemnify the Buyer and keep the Buyer indemnified against all liabilities, costs, expenses, damages and losses suffered or incurred by the Buyer arising out of or in connection with any breach by the Seller or the Seller's employees, agents or contractors of any terms or conditions of the Agri-environment Agreements before completion [or during the Holdover Period].]</paratext>
              </para>
            </subclause1>
            <subclause1 id="a159422">
              <identifier>22.3</identifier>
              <para>
                <paratext>The payments under the Agri-environment Agreements for the claim year [SCHEME CLAIM YEAR] will be apportioned between the Buyer and Seller in accordance with Condition 9.3.</paratext>
              </para>
            </subclause1>
            <subclause1 id="a255505">
              <identifier>22.4</identifier>
              <para>
                <paratext>The parties agree to act in good faith to facilitate the Buyer taking over the Agri-environment Agreements or any replacement schemes.</paratext>
              </para>
            </subclause1>
            <subclause1 id="a858513">
              <identifier>22.5</identifier>
              <para>
                <paratext>The Seller will hand over on completion to the Buyer all relevant records and documents relating to the Agri-environment Agreements and take all such reasonable steps as may be necessary to transfer the schemes to the Buyer.</paratext>
              </para>
            </subclause1>
            <subclause1 id="a232088">
              <identifier>22.6</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461090">
            <identifier>23.</identifier>
            <head align="left" preservecase="true">
              <headtext>Woodland Grant Agreements</headtext>
            </head>
            <drafting.note id="a388064" jurisdiction="">
              <head align="left" preservecase="true">
                <headtext>Woodland Grant Agreements (optional clause)</headtext>
              </head>
              <division id="a000078" level="1">
                <para>
                  <paratext>
                    In good time before exchange of contracts, the parties should contact the Forestry Commission Administrative Hub that covers the area for the Property for the latest advice on selling land subject to woodland grant agreements and make any amendments to this clause that may be required to reflect the current position
                    <bold>.</bold>
                     See 
                    <link href="https://www.gov.uk/government/organisations/forestry-commission/about/access-and-opening" style="ACTLinkURL">
                      <ital>Forestry Commission England: Office access and opening times – Administrative Hubs</ital>
                    </link>
                    .
                  </paratext>
                </para>
                <para>
                  <paratext>Woodland grant agreements under the Rural Development Programme for England include various types of grant under the English Woodland Grant Scheme (EWGS) and previous schemes such as the Farm Woodland Scheme and Farm Woodland Premium Scheme. These schemes are now closed to new applicants, but the obligations associated with a woodland grant agreement can continue for a significant period of time. Some commitments extend to 30 years after the first payment.</paratext>
                </para>
                <para>
                  <paratext>Payments made under a grant agreement could be reclaimed from the Seller after completion, with interest, if the Buyer fails to comply with the terms of the agreement. The Seller should check the precise terms of all current woodland grant agreements affecting the Property and adapt this clause to protect itself from relevant risks associated with the sale of the Property.</paratext>
                </para>
                <para>
                  <paratext>
                    If the Seller intends the Buyer to take over the agreements, the Seller should expressly impose such obligations in the sale contract. Adapt 
                    <internal.reference refid="a271892">clause 23.2</internal.reference>
                     to reflect the exact transfer requirements of the agreements listed in 
                    <internal.reference refid="a690326">Schedule 6</internal.reference>
                    . This clause is drafted on the assumption that all the agreements listed are transferable. The Forestry Commission advise in their 
                    <link href="https://www.gov.uk/government/publications/change-of-ownership-of-land-under-a-grant-scheme-operations-note-14" style="ACTLinkURL">
                      <ital>Operations Note 14</ital>
                    </link>
                     that the 
                    <link href="https://www.gov.uk/government/publications/forestry-commission-successors-form-change-of-ownership" style="ACTLinkURL">
                      <ital>successor's form</ital>
                    </link>
                    , to be completed by the Buyer to succeed the scheme, has a deadline period for submission that depends on the date of the original scheme agreement, but may be as little as three months. The decision to transfer the agreement is at the discretion of the Forestry Commission. The Forestry Commission Operations Note 14 also highlights the need for the Buyer to complete an RLE1 form and submit this to the Rural Payments Agency to transfer the land from one holding to another.
                  </paratext>
                </para>
                <para>
                  <paratext>
                    If acting for the Buyer, you may want an indemnity from the Seller in which case the optional wording in 
                    <internal.reference refid="a729418">clause 23.3</internal.reference>
                     should be included. The parties may want to add an apportionment clause for payments made under the schemes in the year of completion.
                  </paratext>
                </para>
                <para>
                  <paratext>
                    For general information on the EWGS, see 
                    <link href="7-519-1642" style="ACTLinkPLCtoPLC">
                      <ital>Practice note, English Woodland Grant Scheme</ital>
                    </link>
                    .
                  </paratext>
                </para>
                <para>
                  <paratext>
                    For information about how the Forestry Commission manage transfer of ownership of property with any legacy woodland grant scheme on it, see 
                    <link anchor="who-to-contact-for-more-advice-or-information" href="https://www.gov.uk/guidance/legacy-woodland-grants-and-obligations" style="ACTLinkURL">
                      <ital>Forestry Commission England: Legacy woodland grants and obligations</ital>
                    </link>
                    . Access to Operations Note 14 for the Seller and Buyer to read, and the successors form for the Buyer to complete, can be located through this guidance page.
                  </paratext>
                </para>
                <para>
                  <paratext>
                    For more information on historic woodland schemes, see  
                    <link anchor="a881330" href="w-034-4460" style="ACTLinkPLCtoPLC">
                      <ital>Practice note, English farm support schemes: practical considerations for land transactions: Legacy woodland scheme agreements</ital>
                    </link>
                  </paratext>
                </para>
              </division>
            </drafting.note>
            <subclause1 id="a821664">
              <identifier>23.1</identifier>
              <para>
                <paratext>The Buyer shall take all reasonable steps necessary to take over the Seller's obligations under Woodland Grant Agreements, so far as they relate to the Property, from and including the date of completion until the date that the Woodland Grant Agreements come to an end.</paratext>
              </para>
            </subclause1>
            <subclause1 id="a271892">
              <identifier>23.2</identifier>
              <para>
                <paratext>
                  The Buyer shall [lodge the documents required to transfer the Woodland Grant Agreements with the Forestry Commission within [one] months following the date of completion and shall give copies to the Seller's Conveyancer 
                  <bold>OR</bold>
                   OTHER REQUIREMENTS FOR TRANSFER].
                </paratext>
              </para>
            </subclause1>
            <subclause1 id="a729418">
              <identifier>23.3</identifier>
              <para>
                <paratext>The Seller warrants that the Seller has observed and complied with the terms and conditions of the Woodland Grant Agreements and will continue to do so until completion, and that up to the date of this contract the Seller has not received notification of any breach. [The Seller shall indemnify the Buyer and keep the Buyer indemnified against all liabilities, costs, expenses, damages and losses suffered or incurred by the Buyer (including loss or payments and liability for the repayment of any grant and any interest) arising out of or in connection with any breach by the Seller or the Seller's employees, agents or contractors of any terms or conditions of the Woodland Grant Agreements before completion [or during the Holdover Period].]</paratext>
              </para>
            </subclause1>
            <subclause1 id="a543790">
              <identifier>23.4</identifier>
              <para>
                <paratext>
                  The Buyer warrants that the Buyer will observe and comply with the terms and conditions of the Woodland Grant Agreements from completion and shall indemnify the Seller and keep the Seller indemnified against all liabilities, costs, expenses, damages and losses suffered or incurred by the Seller (including loss of payments and liability for the repayment of any grant and any interest) arising out of or in connection with any breach by the Buyer or the Buyer's employees, agents or contractors of the terms of any of the Woodland Grant Agreements after completion [or during the earlier access period granted under 
                  <internal.reference refid="a186918">clause 20</internal.reference>
                  ] or any failure by the Buyer to take over the Woodland Grant Agreements in accordance with 
                  <internal.reference refid="a821664">clause 23.1</internal.reference>
                   except where the breach or failure arises from an act or omission of the Seller or the Seller's employees, agents or contractors.
                </paratext>
              </para>
            </subclause1>
            <subclause1 id="a843173">
              <identifier>23.5</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865575">
            <identifier>24.</identifier>
            <head align="left" preservecase="true">
              <headtext>Occupier's release of rights</headtext>
            </head>
            <drafting.note id="a645313" jurisdiction="">
              <head align="left" preservecase="true">
                <headtext>Occupier's release of rights (optional clause)</headtext>
              </head>
              <division id="a000079" level="1">
                <para>
                  <paratext>
                    Notwithstanding the Occupier's obligations in this 
                    <internal.reference refid="a865575">clause 24</internal.reference>
                    , the Seller should be aware that by agreeing to give vacant possession, the Seller must, before completion, procure the cancellation of any charge registered by a non-owning spouse or civil partner under 
                    <link href="3-508-3786" style="ACTLinkPLCtoPLC">
                      <ital>section 31</ital>
                    </link>
                     of the 
                    <link href="8-508-3784" style="ACTLinkPLCtoPLC">
                      <ital>Family Law Act 1996</ital>
                    </link>
                     or 
                    <link href="5-508-2663" style="ACTLinkPLCtoPLC">
                      <ital>section 2</ital>
                    </link>
                     of the 
                    <link href="7-508-2662" style="ACTLinkPLCtoPLC">
                      <ital>Land Charges Act 1972</ital>
                    </link>
                     (
                    <link href="0-508-8337" style="ACTLinkPLCtoPLC">
                      <ital>paragraph 3</ital>
                    </link>
                    <ital>, Schedule 4, Family Law Act 1996</ital>
                    ).
                  </paratext>
                </para>
              </division>
            </drafting.note>
            <subclause1 id="a854894">
              <para>
                <paratext>In consideration of the Seller and the Buyer entering into this contract, the Occupier consents to the sale of the Property on the terms of this contract and agrees:</paratext>
              </para>
              <subclause2 id="a677357">
                <identifier>(a)</identifier>
                <para>
                  <paratext>to release the Property and any fixtures and content and chattels included in the sale from any rights and interests they may have over them with effect from completion;</paratext>
                </para>
              </subclause2>
              <subclause2 id="a944390">
                <identifier>(b)</identifier>
                <para>
                  <paratext>not to register any rights in relation to the Property;</paratext>
                </para>
              </subclause2>
              <subclause2 id="a143291">
                <identifier>(c)</identifier>
                <para>
                  <paratext>to cancel the registration of any such rights before completion; and</paratext>
                </para>
              </subclause2>
              <subclause2 id="a812169">
                <identifier>(d)</identifier>
                <para>
                  <paratext>to give vacant possession of the Property on or before completion.</paratext>
                </para>
              </subclause2>
            </subclause1>
          </clause>
          <clause condition="optional" id="a379051">
            <identifier>25.</identifier>
            <head align="left" preservecase="true">
              <headtext>Water Abstraction Licence</headtext>
            </head>
            <drafting.note id="a430184" jurisdiction="">
              <head align="left" preservecase="true">
                <headtext>Water Abstraction Licence (optional clause)</headtext>
              </head>
              <division id="a000080" level="1">
                <para>
                  <paratext>
                    If there is a water abstraction licence relating to the Property under the 
                    <link href="5-507-3630" style="ACTLinkPLCtoPLC">
                      <ital>Water Resources Act 1991</ital>
                    </link>
                    <ital> (as amended by the Water Act 2003 S24A) </ital>
                     then this must be transferred to the Buyer.
                  </paratext>
                </para>
                <para>
                  <paratext>
                    This document is drafted on the assumption that the whole of the Property is being sold, and this clause is drafted on the assumption that the Seller is transferring the whole of their abstraction licence to the Buyer. To do so, the Seller must submit Form WR165, signed by both parties, to the Environment Agency. For the form and guidance, see 
                    <link href="https://www.gov.uk/government/publications/wr165-notice-to-transfer-a-water-abstraction-or-impoundment-licence" style="ACTLinkURL">
                      <ital>EA: Water abstraction: transfer an abstraction or impoundment licence</ital>
                    </link>
                    .
                  </paratext>
                </para>
                <para>
                  <paratext>If instead the Seller is retaining part of the land to which the licence relates, the parties first need to agree how the abstraction rights under the existing licence are to be apportioned. This needs to be based on the requirement for water rather than the area of land occupied. The Environment Agency will not get involved in this apportionment. Two new licences are issued to the Buyer and the Seller recording the apportionments agreed by the parties. The parties will need to amend the following clauses to deal with a sale of part:</paratext>
                </para>
                <list type="bulleted">
                  <list.item>
                    <para>
                      <paratext>
                        <internal.reference refid="a948681">clause 25.1</internal.reference>
                         to refer to the apportionment of the Water Abstraction Licence between the Buyer and the Seller, and the submission of Form WR166 (instead of transfer and Form WR165).
                      </paratext>
                    </para>
                  </list.item>
                  <list.item>
                    <para>
                      <paratext>
                        <internal.reference refid="a748000">clause 25.2</internal.reference>
                         to refer to the issuing of new water abstraction licences to the Buyer and Seller (instead of the transfer of the Water Abstraction Licence to the Buyer).
                      </paratext>
                    </para>
                  </list.item>
                </list>
                <para>
                  <paratext>
                    It is the responsibility of the 
                    <bold>current</bold>
                     licence holder (that is the Seller) to comply with the conditions of the water abstraction licence and pay any related charges until the licence has been transferred to the new holder (that is, the Buyer) or new licences are issued following apportionment.
                  </paratext>
                </para>
                <para>
                  <paratext>If the Buyer breaches any of the terms of the licence before the Buyer has formally succeeded to all or part of it, the Seller will be liable for any penalty, which can include both revocation of the licence and financial penalties. Any revocation of the licence will be of the whole licence rather than just the part intended to be apportioned to the Buyer. The new licence holder will only be responsible for the relevant licence from the date on which the new licence is granted.</paratext>
                </para>
                <para>
                  <paratext>
                    For more information on water abstraction licences, see 
                    <link href="4-384-9516" style="ACTLinkPLCtoPLC">
                      <ital>Practice Note, Water abstraction regime</ital>
                    </link>
                    <ital>. </ital>
                  </paratext>
                </para>
                <para>
                  <paratext>
                    <bold>Note</bold>
                    : the water abstraction regime is changing to an environmental permitting regime in 2023. Under the new regime, existing water abstraction licences will automatically become environmental permits (known as transitional permits). The government plans to adopt the provisions of the Environmental Permitting (England and Wales) Regulations 2016 and have said that it intends to lay secondary legislation in Parliament in 2022 for implementation in 2023 but exact dates are not yet known. Depending on your proposed completion date, you may wish to widen the definition of Water Abstraction Licence to cover both licences and environmental permits. For example:
                  </paratext>
                </para>
                <para>
                  <paratext>
                    <bold>Water Abstraction Licence:</bold>
                     the water abstraction licence/ environmental permit dated [DATE] with licence/ environmental permit number [NUMBER].
                  </paratext>
                </para>
                <para>
                  <paratext>Under the new regime, farmers need to be aware that abstraction licences/ permits can be reviewed, varied or revoked with no compensation and that actual usage and environmental impact will be key factors. Practitioners should therefore make sure that they check what the actual usage has been over the last ten years and whether there is any abstraction licensing strategy (England) or similar in order to evaluate how secure the licence/ permit is.</paratext>
                </para>
                <para>
                  <paratext>
                    For more information, 
                    <link anchor="a1051512" href="4-384-9516" style="ACTLinkPLCtoPLC">
                      <ital>see Practice Note, Water abstraction regime: Transition to Environmental Permitting</ital>
                    </link>
                    .
                  </paratext>
                </para>
              </division>
            </drafting.note>
            <subclause1 id="a948681">
              <identifier>25.1</identifier>
              <para>
                <paratext>The Seller will take all reasonable steps necessary to transfer the Water Abstraction Licence to the Buyer on completion, including submission of Form WR165 (or such other form that may from time to time be required).</paratext>
              </para>
            </subclause1>
            <subclause1 id="a748000">
              <identifier>25.2</identifier>
              <para>
                <paratext>Until the transfer of the Water Abstraction Licence to the Buyer is completed, the Buyer shall:</paratext>
              </para>
              <subclause2 id="a728419">
                <identifier>(a)</identifier>
                <para>
                  <paratext>comply with the terms of the Water Abstraction Licence as if a party to the Water Abstraction Licence in place of the Seller;</paratext>
                </para>
              </subclause2>
              <subclause2 id="a1015033">
                <identifier>(b)</identifier>
                <para>
                  <paratext>comply with any requirements of the Environment Agency to ensure that the Water Abstraction Licence is transferred to the Buyer;</paratext>
                </para>
              </subclause2>
              <subclause2 id="a123628">
                <identifier>(c)</identifier>
                <para>
                  <paratext>indemnify the Seller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Seller arising out of or in connection with any breach of this clause by the Buyer or the Buyer's employees, agents or contractors.</paratext>
                </para>
              </subclause2>
            </subclause1>
          </clause>
          <clause id="a318431">
            <identifier>26.</identifier>
            <head align="left" preservecase="true">
              <headtext>Expert determination</headtext>
            </head>
            <drafting.note id="a276468" jurisdiction="">
              <head align="left" preservecase="true">
                <headtext>Expert determination</headtext>
              </head>
              <division id="a000081" level="1">
                <para>
                  <paratext>
                    <internal.reference refid="a124995">clause 17</internal.reference>
                     (tenant right), 
                    <internal.reference refid="a483520">clause 22</internal.reference>
                     (Agri-environment Agreements) and 
                    <internal.reference refid="a461090">clause 23</internal.reference>
                     (Woodland Grant Agreements) refer disputes to expert determination gives the option to refer a dispute to expert determination or arbitration. For general information on expert determination, see 
                    <link href="8-107-4185" style="ACTLinkPLCtoPLC">
                      <ital>Practice note, Expert determination</ital>
                    </link>
                    .
                  </paratext>
                </para>
              </division>
            </drafting.note>
            <subclause1 id="a377456">
              <identifier>26.1</identifier>
              <para>
                <paratext>
                  An 
                  <defn.term>Expert</defn.term>
                   is a person appointed in accordance with this clause to resolve a dispute that arises out of or in connection with 
                  <internal.reference refid="a124995">clause 17</internal.reference>
                   [, 
                  <internal.reference refid="a294234">clause 21</internal.reference>
                  ] [, 
                  <internal.reference refid="a483520">clause 22</internal.reference>
                  ] [or 
                  <internal.reference refid="a461090">clause 23</internal.reference>
                  ]. Where the dispute relates to any other matter,  the matter shall be determined by an independent person with relevant experience from the panel as appointed by the Chair for the time being of the Agricultural Law Association, the President for the time being of the Central Association of Agricultural Valuers or the President for the time being of the Royal Institution of Chartered Surveyors with relevant experience.
                </paratext>
              </para>
            </subclause1>
            <subclause1 id="a511395">
              <identifier>26.2</identifier>
              <para>
                <paratext>The Seller and the Buyer shall agree on the appointment of the Expert and shall agree with the Expert the terms of the Expert's appointment.</paratext>
              </para>
            </subclause1>
            <subclause1 id="a971369">
              <identifier>26.3</identifier>
              <para>
                <paratext>If the Seller and the Buyer are unable to agree on an Expert or the terms of the Expert's appointment within seven days of either party serving details of a suggested expert on the other, either party shall then be entitled to request the Chair for the time being of the Agricultural Law Association, the President for the time being of the Central Association of Agricultural Valuers or the President for the time being of the Royal Institution of Chartered Surveyors (as the case may be depending on the nature of the dispute) the relevant party to appoint the Expert and to agree with the Expert the terms of the Expert's appointment.</paratext>
              </para>
            </subclause1>
            <subclause1 id="a785742">
              <identifier>26.4</identifier>
              <para>
                <paratext>The Expert is required to prepare a written decision and give notice (including a copy) of the decision to the Seller and the Buyer within a maximum of three months of the matter being referred to the Expert.</paratext>
              </para>
            </subclause1>
            <subclause1 id="a608204">
              <identifier>26.5</identifier>
              <para>
                <paratext>If the Expert dies or becomes unwilling or incapable of acting, or does not deliver the decision within the time required by this clause then:</paratext>
              </para>
              <subclause2 id="a875237">
                <identifier>(a)</identifier>
                <para>
                  <paratext>either the Seller or the Buyer may apply to the Chair for the time being of the Agricultural Law Association, the President for the time being of the Central Association of Agricultural Valuers or the President for the time being of the Royal Institution of Chartered Surveyors to discharge the Expert and to appoint a replacement Expert; and</paratext>
                </para>
              </subclause2>
              <subclause2 id="a74138">
                <identifier>(b)</identifier>
                <para>
                  <paratext>this clause shall apply to the new Expert as if they were the first Expert appointed.</paratext>
                </para>
                <drafting.note id="a147492" jurisdiction="">
                  <head align="left" preservecase="true">
                    <headtext>Replacement of expert</headtext>
                  </head>
                  <division id="a000082" level="1">
                    <para>
                      <paratext>There is no statutory mechanism for replacement of an expert so it is important to include a replacement mechanism in the contract.</paratext>
                    </para>
                  </division>
                </drafting.note>
              </subclause2>
            </subclause1>
            <subclause1 id="a736380">
              <identifier>26.6</identifier>
              <para>
                <paratext>The Seller and the Buyer are each entitled to make submissions to the Expert [including oral submissions] and will provide (or procure that others provide) the Expert with such assistance and documents as the Expert reasonably requires for the purpose of reaching a decision.</paratext>
              </para>
              <drafting.note id="a150717" jurisdiction="">
                <head align="left" preservecase="true">
                  <headtext>Submissions to the expert</headtext>
                </head>
                <division id="a000083" level="1">
                  <para>
                    <paratext>If either party may want to make oral submissions, this should be expressly provided for otherwise there is a risk that only written submissions will be permitted.</paratext>
                  </para>
                </division>
              </drafting.note>
            </subclause1>
            <subclause1 id="a213934">
              <identifier>26.7</identifier>
              <para>
                <paratext>[To the extent not provided for by this clause, the Expert may use reasonable discretion to determine such other procedures to assist with the conduct of the determination as the Expert considers just or appropriate[, including (to the extent the Expert considers necessary) instructing professional advisers to assist the Expert in reaching a determination].]</paratext>
              </para>
              <drafting.note id="a165443" jurisdiction="">
                <head align="left" preservecase="true">
                  <headtext>Expert's right to employ procedures as necessary</headtext>
                </head>
                <division id="a000084" level="1">
                  <para>
                    <paratext>Only include this provision after careful thought. It has the effect of giving the Expert the right to employ whatever other procedures the Expert chooses or to appoint whoever else the Expert chooses to make or help make the decision. This can be expensive and the parties will want to have some control and avoid unpleasant surprises. Without this clause, the Expert can still engage help from elsewhere but must do so with the parties' agreement.</paratext>
                  </para>
                </division>
              </drafting.note>
            </subclause1>
            <subclause1 id="a227722">
              <identifier>26.8</identifier>
              <para>
                <paratext>The Seller and the Buyer shall with reasonable promptness supply each other with all information and give each other access to all documentation and personnel and/or things as they may each reasonably require to make a submission under this clause.</paratext>
              </para>
            </subclause1>
            <subclause1 id="a697700">
              <identifier>26.9</identifier>
              <para>
                <paratext>The Expert shall act as an expert and not as an arbitrator. The Expert shall determine the dispute[, which may include any issue involving the interpretation of any provisions of this contract, the Expert’s jurisdiction to determine the matters and issues referred to the Expert and/or the Expert’s terms of reference]. The Expert’s written decision on the matters referred to the Expert shall be final and binding on the parties in the absence of manifest error or fraud.</paratext>
              </para>
            </subclause1>
            <subclause1 id="a289574">
              <identifier>26.10</identifier>
              <para>
                <paratext>In determining the dispute the Expert shall take into account [SPECIFY BRIEFLY ANY MATTERS WHICH THE EXPERT IS TO TAKE INTO ACCOUNT].</paratext>
              </para>
            </subclause1>
            <subclause1 id="a490710">
              <identifier>26.11</identifier>
              <para>
                <paratext>The Seller and the Buyer shall each bear their own costs in relation to the reference to the Expert. The Expert's fees and any costs properly incurred by the Expert in arriving at a determination (including any fees and costs of any advisers appointed by the Expert) shall be borne by the Seller and the Buyer equally or in such other proportions as the Expert shall direct.</paratext>
              </para>
            </subclause1>
            <subclause1 id="a751106">
              <identifier>26.12</identifier>
              <para>
                <paratext>All matters concerning the process and result of the determination by the Expert shall be kept confidential among the parties and the Expert.</paratext>
              </para>
            </subclause1>
            <subclause1 id="a743016">
              <identifier>26.13</identifier>
              <para>
                <paratext>Each party shall each act reasonably and co-operate to give effect to the provisions of this clause and otherwise do nothing to hinder or prevent the Expert from reaching a determination.</paratext>
              </para>
            </subclause1>
          </clause>
          <clause condition="optional" id="a689731">
            <identifier>27.</identifier>
            <head align="left" preservecase="true">
              <headtext>Arbitration</headtext>
            </head>
            <drafting.note id="a354675" jurisdiction="">
              <head align="left" preservecase="true">
                <headtext>Arbitration (optional clause)</headtext>
              </head>
              <division id="a000085" level="1">
                <para>
                  <paratext>
                    Include this clause if the parties choose to resolve disputes arising under 
                    <internal.reference refid="a294234">clause 21</internal.reference>
                     by arbitration. For general information on arbitration, see 
                    <link href="7-203-8663" style="ACTLinkPLCtoPLC">
                      <ital>Practice note, Arbitration: a ten-minute guide</ital>
                    </link>
                    .
                  </paratext>
                </para>
              </division>
            </drafting.note>
            <subclause1 id="a778428">
              <para>
                <paratext>
                  Any dispute arising out of or in connection with 
                  <internal.reference refid="a294234">clause 21</internal.reference>
                   shall be referred to and finally resolved by arbitration under the Arbitration Act 1996. The parties shall agree on the appointment of a single arbitrator. If the parties are unable to agree on the appointment within fourteen days of either of them serving details of a suggested arbitrator on the other, either party may request the Chair for the time being of the Agricultural Law Association, the President for the time being of the Central Association of Agricultural Valuers or the President for the time being of the Royal Institution of Chartered Surveyors. The costs of the arbitration shall be payable by the parties in the proportions determined by the arbitrator (or if the arbitrator makes no direction, then equally). The seat of the arbitration shall be [London].
                </paratext>
              </para>
            </subclause1>
          </clause>
          <clause id="a745849">
            <identifier>28.</identifier>
            <head align="left" preservecase="true">
              <headtext>Entire agreement</headtext>
            </head>
            <drafting.note id="a652963" jurisdiction="">
              <head align="left" preservecase="true">
                <headtext>Entire agreement</headtext>
              </head>
              <division id="a000086" level="1">
                <para>
                  <paratext>For information, see:</paratext>
                </para>
                <list type="bulleted">
                  <list.item>
                    <para>
                      <paratext>
                        <link href="7-504-3977" style="ACTLinkPLCtoPLC">
                          <ital>Standard clause, Entire agreement: property documents</ital>
                        </link>
                         and its integrated drafting notes.
                      </paratext>
                    </para>
                  </list.item>
                  <list.item>
                    <para>
                      <paratext>
                        <link href="w-008-0844" style="ACTLinkPLCtoPLC">
                          <ital>Practice note, Property contracts: entire agreement and exclusion of representations (SCPC (Third Edition – 2018 Revision) and SCS (Fifth Edition – 2018 Revision ))</ital>
                        </link>
                        .
                      </paratext>
                    </para>
                  </list.item>
                </list>
              </division>
            </drafting.note>
            <subclause1 id="a243827">
              <identifier>28.1</identifier>
              <para>
                <paratext>
                  This 
                  <bold>contract</bol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749894">
              <identifier>28.2</identifier>
              <para>
                <paratext>
                  The Buyer acknowledges that in entering into this 
                  <bold>contract</bold>
                   [and any documents annexed to it] the Buyer does not rely on[, and shall have no remedies in respect of,] any representation or warranty (whether made innocently or negligently) other than those:
                </paratext>
              </para>
              <subclause2 id="a248078">
                <identifier>(a)</identifier>
                <para>
                  <paratext>set out in this contract [or the documents annexed to it]; or</paratext>
                </para>
              </subclause2>
              <subclause2 id="a708533">
                <identifier>(b)</identifier>
                <para>
                  <paratext>contained in any Written Replies.</paratext>
                </para>
              </subclause2>
            </subclause1>
            <subclause1 condition="optional" id="a931695">
              <identifier>28.3</identifier>
              <para>
                <paratext>Nothing in this clause shall limit or exclude any liability for fraud.</paratext>
              </para>
            </subclause1>
            <subclause1 id="a1008271">
              <identifier>28.4</identifier>
              <para>
                <paratext>Condition 10.1 is varied so that the words "the negotiations leading to it," are replaced with the words "Written Replies".</paratext>
              </para>
            </subclause1>
            <subclause1 condition="optional" id="a966111">
              <identifier>28.5</identifier>
              <para>
                <paratext>This contract may be signed in any number of duplicate parts all of which taken together will on exchange constitute one contract.</paratext>
              </para>
            </subclause1>
          </clause>
          <clause id="a848617">
            <identifier>29.</identifier>
            <head align="left" preservecase="true">
              <headtext>Joint and several liability</headtext>
            </head>
            <drafting.note id="a295187" jurisdiction="">
              <head align="left" preservecase="true">
                <headtext>Joint and several liability</headtext>
              </head>
              <division id="a000087" level="1">
                <para>
                  <paratext>
                    For more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186830">
              <identifier>29.1</identifier>
              <para>
                <paratex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paratext>
              </para>
            </subclause1>
            <subclause1 id="a301088">
              <identifier>29.2</identifier>
              <para>
                <paratext>Condition 1.2 does not apply to this contract.</paratext>
              </para>
            </subclause1>
          </clause>
          <clause id="a201102">
            <identifier>30.</identifier>
            <head align="left" preservecase="true">
              <headtext>Notices</headtext>
            </head>
            <drafting.note id="a610237" jurisdiction="">
              <head align="left" preservecase="true">
                <headtext>Notices</headtext>
              </head>
              <division id="a000088" level="1">
                <para>
                  <paratext>
                    This clause is based on 
                    <link href="1-616-5904" style="ACTLinkPLCtoPLC">
                      <ital>Standard clause, Notices clause for use with a property commercial sale contract</ital>
                    </link>
                    , which contains integrated drafting notes. For general information on the issues to consider when drafting and negotiating notice provisions in property sale contracts, see 
                    <link href="w-008-0863" style="ACTLinkPLCtoPLC">
                      <ital>Practice note, Property contracts: notices under sale contracts (SCPC (Third Edition – 2018 Revision) and SCS (Fifth Edition – 2018 Revision))</ital>
                    </link>
                    .
                  </paratext>
                </para>
              </division>
            </drafting.note>
            <subclause1 id="a207172">
              <identifier>30.1</identifier>
              <para>
                <paratext>Any notice given under this contract must be in writing [and signed by or on behalf of the party giving it].</paratext>
              </para>
            </subclause1>
            <subclause1 id="a143650">
              <identifier>30.2</identifier>
              <para>
                <paratext>
                  Any notice or document to be given or delivered under this contract [may 
                  <bold>OR</bold>
                   must] be:
                </paratext>
              </para>
              <subclause2 id="a824107">
                <identifier>(a)</identifier>
                <para>
                  <paratext>delivered by hand ; [or]</paratext>
                </para>
              </subclause2>
              <subclause2 id="a413352">
                <identifier>(b)</identifier>
                <para>
                  <paratext>
                    sent by pre-paid first class post or other next working day delivery service 
                    <bold>OR</bold>
                     [or]
                  </paratext>
                </para>
              </subclause2>
              <subclause2 condition="optional" id="a921650">
                <identifier>(c)</identifier>
                <para>
                  <paratext>sent through the document exchange (DX) [ OR; or]</paratext>
                </para>
              </subclause2>
              <subclause2 condition="optional" id="a254543">
                <identifier>(d)</identifier>
                <para>
                  <paratext>sent by fax.</paratext>
                </para>
              </subclause2>
            </subclause1>
            <subclause1 id="a741018">
              <identifier>30.3</identifier>
              <para>
                <paratext>Any notice or document to be given or delivered under this contract must be sent to the relevant party as follows:</paratext>
              </para>
              <subclause2 id="a173268">
                <identifier>(a)</identifier>
                <para>
                  <paratext>to the Seller at:</paratext>
                </para>
                <para>
                  <paratext>[ADDRESS]</paratext>
                </para>
                <para>
                  <paratext>[DX: [DX NUMBER]]</paratext>
                </para>
                <para>
                  <paratext>[Fax: [FAX NUMBER]]</paratext>
                </para>
                <para>
                  <paratext>marked for the attention of: [NAME/POSITION]</paratext>
                </para>
                <para>
                  <paratext>or at the Seller's Conveyancer, quoting the reference [REFERENCE];</paratext>
                </para>
              </subclause2>
              <subclause2 id="a112406">
                <identifier>(b)</identifier>
                <para>
                  <paratext>to the Buyer at:</paratext>
                </para>
                <para>
                  <paratext>[ADDRESS]</paratext>
                </para>
                <para>
                  <paratext>[DX: [DX NUMBER]]</paratext>
                </para>
                <para>
                  <paratext>[Fax: [FAX NUMBER]]</paratext>
                </para>
                <para>
                  <paratext>marked for the attention of: [NAME/POSITION]</paratext>
                </para>
                <para>
                  <paratext>or at the Buyer's Conveyancer, quoting the reference [REFERENCE].</paratext>
                </para>
              </subclause2>
              <para>
                <paratext>or as otherwise specified by the relevant party by notice in writing to the other party.</paratext>
              </para>
            </subclause1>
            <subclause1 id="a1045726">
              <identifier>30.4</identifier>
              <para>
                <paratext>
                  Any change of the details in 
                  <internal.reference refid="a741018">clause 30.3</internal.reference>
                   specified in accordance with that clause shall take effect for the party notified of the change at [9.00 am] on the later of:
                </paratext>
              </para>
              <subclause2 id="a652288">
                <identifier>(a)</identifier>
                <para>
                  <paratext>the date, if any, specified in the notice as the effective date for the change; or</paratext>
                </para>
              </subclause2>
              <subclause2 id="a317756">
                <identifier>(b)</identifier>
                <para>
                  <paratext>the date [five] working days after deemed receipt of the notice.</paratext>
                </para>
              </subclause2>
            </subclause1>
            <subclause1 id="a407209">
              <identifier>30.5</identifier>
              <para>
                <paratext>Giving or delivering a notice or a document to a party's conveyancer has the same effect as giving or delivering it to that party.</paratext>
              </para>
            </subclause1>
            <subclause1 id="a474771">
              <identifier>30.6</identifier>
              <para>
                <paratext>
                  Any notice or document given or delivered in accordance with 
                  <internal.reference refid="a207172">clause 30.1</internal.reference>
                  , 
                  <internal.reference refid="a143650">clause 30.2</internal.reference>
                   and 
                  <internal.reference refid="a741018">clause 30.3</internal.reference>
                   shall be deemed to have been received:
                </paratext>
              </para>
              <subclause2 id="a723628">
                <identifier>(a)</identifier>
                <para>
                  <paratext>
                    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
                    <bold>OR</bold>
                    ;[or]]
                  </paratext>
                </para>
              </subclause2>
              <subclause2 id="a250556">
                <identifier>(b)</identifier>
                <para>
                  <paratext>
                    if sent by pre-paid first class post or other next working day delivery service, at [9.00 am] on the [second] working day after posting [.
                    <bold>OR ;</bold>
                     or]]
                  </paratext>
                </para>
              </subclause2>
              <subclause2 condition="optional" id="a844877">
                <identifier>(c)</identifier>
                <para>
                  <paratext>if sent through the DX, at [9.00 am] on the [second] working day after being put into the DX [; or]</paratext>
                </para>
              </subclause2>
              <subclause2 condition="optional" id="a832027">
                <identifier>(d)</identifier>
                <para>
                  <paratext>if sent by fax, at the time of transmission provided that if transmission occurs before 9.00 am on a working day, the notice or document shall be deemed to have been received at 9.00 am on that day, and if transmission occurs after 5.00 pm on a working day, or on a day which is not a working day, the notice shall be deemed to have been received at 9.00 am on the next working day.</paratext>
                </para>
              </subclause2>
            </subclause1>
            <subclause1 id="a972436">
              <identifier>30.7</identifier>
              <para>
                <paratext>In proving delivery of a notice or document, it shall be sufficient to prove that:</paratext>
              </para>
              <subclause2 id="a92840">
                <identifier>(a)</identifier>
                <para>
                  <paratext>
                    a delivery receipt was signed [or that the notice or document was left at the address] [.
                    <bold>OR</bold>
                     or]
                  </paratext>
                </para>
              </subclause2>
              <subclause2 id="a1013521">
                <identifier>(b)</identifier>
                <para>
                  <paratext>the envelope containing the notice or document was properly addressed and posted by pre-paid first class post or other next working day delivery service [. OR; or]]</paratext>
                </para>
              </subclause2>
              <subclause2 condition="optional" id="a752939">
                <identifier>(c)</identifier>
                <para>
                  <paratext>
                    the envelope containing the notice or document was properly addressed and was put in the DX [.
                    <bold>OR</bold>
                     ;or]]
                  </paratext>
                </para>
              </subclause2>
              <subclause2 condition="optional" id="a770573">
                <identifier>(d)</identifier>
                <para>
                  <paratext>the fax was properly addressed and transmitted.</paratext>
                </para>
              </subclause2>
            </subclause1>
            <subclause1 id="a1021289">
              <identifier>30.8</identifier>
              <para>
                <paratext>A notice or document given or delivered under this contract shall not be validly given or delivered if sent by email.</paratext>
              </para>
            </subclause1>
            <subclause1 id="a433817">
              <identifier>30.9</identifier>
              <para>
                <paratext>Condition 1.3 does not apply to this contract.</paratext>
              </para>
            </subclause1>
            <subclause1 id="a937243">
              <identifier>30.10</identifier>
              <para>
                <paratext>This clause does not apply to the service of any proceedings or other documents in any legal action or, where applicable, any arbitration or other method of dispute resolution.</paratext>
              </para>
            </subclause1>
          </clause>
          <clause id="a196236">
            <identifier>31.</identifier>
            <head align="left" preservecase="true">
              <headtext>Third party rights</headtext>
            </head>
            <drafting.note id="a357931" jurisdiction="">
              <head align="left" preservecase="true">
                <headtext>Third party rights</headtext>
              </head>
              <division id="a000089" level="1">
                <para>
                  <paratext>
                    Although SCPC 1.5 provides for the exclusion of third party rights, this 
                    <internal.reference refid="a196236">clause 31</internal.reference>
                     is included on the face of the agreement to prompt the parties to consider whether the exclusion is appropriate.
                  </paratext>
                </para>
                <para>
                  <paratext>If there are any rights which a third party is to have under the Contracts (Rights of Third Parties) Act 1999 in relation to the contract, the rights should be clearly stated in the contract and referred to in this clause.</paratext>
                </para>
                <para>
                  <paratext>
                    For information, see 
                    <link href="6-107-3846" style="ACTLinkPLCtoPLC">
                      <ital>Standard clause, Third party rights</ital>
                    </link>
                    .
                  </paratext>
                </para>
              </division>
            </drafting.note>
            <subclause1 id="a345039">
              <identifier>31.1</identifier>
              <para>
                <paratext>A person who is not a party to this contract does give rise to any rights under the Contracts (Rights of Third Parties) Act 1999 to enforce any term of this contract.</paratext>
              </para>
            </subclause1>
            <subclause1 id="a207814">
              <identifier>31.2</identifier>
              <para>
                <paratext>Condition 1.5 does not apply to this contract.</paratext>
              </para>
            </subclause1>
          </clause>
          <clause id="a377819">
            <identifier>32.</identifier>
            <head align="left" preservecase="true">
              <headtext>Governing law</headtext>
            </head>
            <drafting.note id="a293439" jurisdiction="">
              <head align="left" preservecase="true">
                <headtext>Governing law</headtext>
              </head>
              <division id="a000090" level="1">
                <para>
                  <paratext>The governing law clause provides that the law of England and Wales governs the performance and interpretation of the contract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833071">
              <para>
                <paratext>This contract and any dispute or claim (including non-contractual disputes or claims) arising out of or in connection with it or its subject matter or formation shall be governed by and construed in accordance with the law of England and Wales.</paratext>
              </para>
            </subclause1>
          </clause>
          <clause id="a882812">
            <identifier>33.</identifier>
            <head align="left" preservecase="true">
              <headtext>Jurisdiction</headtext>
            </head>
            <drafting.note id="a178972" jurisdiction="">
              <head align="left" preservecase="true">
                <headtext>Jurisdiction</headtext>
              </head>
              <division id="a000091" level="1">
                <para>
                  <paratext>The jurisdiction clause relates to the place where a dispute arising under the contract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contract.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For more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19580">
              <para>
                <paratext>
                  Subject to 
                  <internal.reference refid="a124995">clause 17</internal.reference>
                   [, 
                  <internal.reference refid="a483520">clause 22</internal.reference>
                  ] [, 
                  <internal.reference refid="a461090">clause 23</internal.reference>
                  ] [and 
                  <bold>OR</bold>
                   ,] 
                  <internal.reference refid="a318431">clause 26</internal.reference>
                   [and 
                  <internal.reference refid="a689731">clause 27</internal.reference>
                  ], each party irrevocably agrees that the courts of England and Wales shall have [exclusive 
                  <bold>OR</bold>
                   non-exclusive] jurisdiction to settle any dispute or claim arising out of or in connection with this contract or its subject matter or formation (including non-contractual disputes or claims).
                </paratext>
              </para>
            </subclause1>
          </clause>
          <clause condition="optional" id="a429621">
            <identifier>34.</identifier>
            <head align="left" preservecase="true">
              <headtext>Confidentiality</headtext>
            </head>
            <drafting.note id="a607008" jurisdiction="">
              <head align="left" preservecase="true">
                <headtext>Confidentiality</headtext>
              </head>
              <division id="a000092" level="1">
                <para>
                  <paratext>This clause assumes that:</paratext>
                </para>
                <list type="bulleted">
                  <list.item>
                    <para>
                      <paratext>
                        The pre-contract negotiations were conducted on a confidential basis. For a confidentiality agreement for use at the initial stage of a sale of a property, see 
                        <link href="5-314-7978" style="ACTLinkPLCtoPLC">
                          <ital>Standard document, Confidentiality agreement: contract for sale</ital>
                        </link>
                        .
                      </paratext>
                    </para>
                  </list.item>
                  <list.item>
                    <para>
                      <paratext>Both parties are bound to keep the contract and ancillary documents confidential.</paratext>
                    </para>
                  </list.item>
                  <list.item>
                    <para>
                      <paratext>The parties wish to control disclosure of the detailed terms agreed in the contract and of the existence of the contract itself (so far as possible).</paratext>
                    </para>
                  </list.item>
                </list>
                <para>
                  <paratext>For more information on confidentiality obligations, see:</paratext>
                </para>
                <list type="bulleted">
                  <list.item>
                    <para>
                      <paratext>
                        <link href="1-107-4155" style="ACTLinkPLCtoPLC">
                          <ital>Practice note, Confidentiality agreements in property transactions</ital>
                        </link>
                        .
                      </paratext>
                    </para>
                  </list.item>
                  <list.item>
                    <para>
                      <paratext>
                        <link href="2-107-3829" style="ACTLinkPLCtoPLC">
                          <ital>Standard clause, Confidentiality</ital>
                        </link>
                        . Note, however, that the boilerplate clause is designed for use in a commercial agreement, rather than specifically in a property contract.
                      </paratext>
                    </para>
                  </list.item>
                </list>
              </division>
              <division id="a94812" level="1">
                <head align="left" preservecase="true">
                  <headtext>Should the buyer be prohibited from protecting its interest under the sale contract?</headtext>
                </head>
                <para>
                  <paratext>
                    Disclosure of the contract or its terms may occur in several ways (for example, in correspondence, orally or in advertisements). It can also occur as a result of the buyer protecting its interest under the sale contract by registering an agreed or unilateral notice against the seller's title (where the property is registered) or a Class C(iv) land charge or a caution against first registration (where the property is unregistered). For information about protecting contracts, see 
                    <link href="w-008-0842" style="ACTLinkPLCtoPLC">
                      <ital>Practice note, Property contracts: protecting the contract (SCPC (Third Edition - 2018 Revision) and SCS (Fifth Edition - 2018 Revision))</ital>
                    </link>
                    .
                  </paratext>
                </para>
                <para>
                  <paratext>
                    When contracts for the sale of land are exchanged, the buyer acquires an equitable interest in the land (see 
                    <link href="7-101-6657" style="ACTLinkPLCtoPLC">
                      <ital>Practice note, Trustee relationship between seller and buyer between exchange and completion</ital>
                    </link>
                    ). The buyer may wish to protect that interest against competing claims by third parties, arising from dealings by the seller with the property between exchange and completion. This may be a particular concern where there is a long delay between those points. In such circumstances, the buyer is unlikely to accept a contractual term prohibiting protection of its interest altogether.
                  </paratext>
                </para>
                <division id="a175894" level="2">
                  <head align="left" preservecase="true">
                    <headtext>Protection where the property is registered</headtext>
                  </head>
                  <para>
                    <paratext>
                      Where the buyer applies for an agreed notice (using Form 
                      <link href="7-106-6553" style="ACTLinkPLCtoPLC">
                        <ital>AN1</ital>
                      </link>
                      ) a copy of the contract must be sent to the Land Registry and will be available for public inspection under the open register rules unless, and to the extent that, the seller applies for and obtains designation of the contract as an exempt information document (EID) (
                      <link href="6-508-2752" style="ACTLinkPLCtoPLC">
                        <ital>section 66</ital>
                      </link>
                      <ital>, Land Registration Act 2002</ital>
                      ). For more information on exempting documents, see:
                    </paratext>
                  </para>
                  <list type="bulleted">
                    <list.item>
                      <para>
                        <paratext>
                          <link href="6-107-4898" style="ACTLinkPLCtoPLC">
                            <ital>Practice note, Exempt information documents.</ital>
                          </link>
                          .
                        </paratext>
                      </para>
                    </list.item>
                    <list.item>
                      <para>
                        <paratext>
                          <link href="9-106-6750" style="ACTLinkPLCtoPLC">
                            <ital>Land Registry Practice Guide 57 - Exempting documents from the general right to inspect and copy</ital>
                          </link>
                          .
                        </paratext>
                      </para>
                    </list.item>
                  </list>
                  <para>
                    <paratext>
                      Where the buyer applies for a unilateral notice (using Form 
                      <link href="7-106-6949" style="ACTLinkPLCtoPLC">
                        <ital>UN1</ital>
                      </link>
                      ) there is no requirement to lodge a copy of the sale contract, though the buyer can choose to do so. However, the details of the contract which are given in panels 11 and 12 of Form UN1 may disclose more about the contract than the parties intend.
                    </paratext>
                  </para>
                  <para>
                    <paratext>
                      Clause 34.3 offers alternatives to limit the disclosure, by either of these means, of the terms of the sale contract. It does not (and cannot) prohibit disclosure of the 
                      <bold>existence</bold>
                       of the contract and the names of the parties. For more information, see 
                      <link href="9-106-6726" style="ACTLinkPLCtoPLC">
                        <ital>Land Registry Practice Guide 19 - Notices, restrictions and the protection of third party interests in the register</ital>
                      </link>
                      .
                    </paratext>
                  </para>
                  <para>
                    <paratext>
                      The buyer might prefer to register an agreed notice because a unilateral notice offers less secure protection, as the registered proprietor can apply for its cancellation. For more information on the differences between agreed notices and unilateral notices, see 
                      <link anchor="a331258" href="w-008-0842" style="ACTLinkPLCtoPLC">
                        <ital>Practice note, Property contracts: protecting the contract (SCPC (Third Edition - 2018 Revision) and SCS (Fifth Edition - 2018 Revision)): Should the buyer use an agreed notice or a unilateral notice?</ital>
                      </link>
                      and 
                      <link href="2-107-4621" style="ACTLinkPLCtoPLC">
                        <ital>Practice note, Protection of third party rights under the Land Registration Act 2002</ital>
                      </link>
                      .
                    </paratext>
                  </para>
                </division>
                <division id="a270038" level="2">
                  <head align="left" preservecase="true">
                    <headtext>Protection where the property is unregistered</headtext>
                  </head>
                  <para>
                    <paratext>Clause 34.3 is inappropriate where the property is unregistered.</paratext>
                  </para>
                  <para>
                    <paratext>
                      Where the buyer protects its interest under the sale contract by registration of a Class C(iv) land charge (using 
                      <link href="5-106-6281" style="ACTLinkPLCtoPLC">
                        <ital>Form K1 - Application for registration of a Land Charge</ital>
                      </link>
                      ) the only details that are included on the form are the date and parties to the contract. No supporting documents are submitted with that form. This level of disclosure is unavoidable, so a buyer will not accept a clause that seeks to prohibit or control it.
                    </paratext>
                  </para>
                  <para>
                    <paratext>
                      For Land Registry guidance on how to register a land charge, see 
                      <link href="3-200-7871" style="ACTLinkPLCtoPLC">
                        <ital>Land Registry Practice Guide 63 - Land Charges - Applications for registration, official search, office copy and cancellation</ital>
                      </link>
                      .
                    </paratext>
                  </para>
                  <para>
                    <paratext>
                      Where the buyer protects its interest by a caution against first registration (using 
                      <link href="9-106-6566" style="ACTLinkPLCtoPLC">
                        <ital>Form CT1</ital>
                      </link>
                      ) it is possible for the buyer to disclose more detail about the terms of the sale contract in panel 10 of the form. The seller may wish to prohibit or control what is disclosed, by adapting clause 34.3. For more information on cautions against first registration, see:
                    </paratext>
                  </para>
                  <list type="bulleted">
                    <list.item>
                      <para>
                        <paratext>
                          <link href="0-107-4542" style="ACTLinkPLCtoPLC">
                            <ital>Practice note, Cautions against first registration under the Land Registration Act 2002</ital>
                          </link>
                          .
                        </paratext>
                      </para>
                    </list.item>
                    <list.item>
                      <para>
                        <paratext>
                          <link href="7-106-6713" style="ACTLinkPLCtoPLC">
                            <ital>Land Registry Practice Guide 3 - Cautions against first registration</ital>
                          </link>
                          .
                        </paratext>
                      </para>
                    </list.item>
                  </list>
                </division>
              </division>
              <division id="a274479" level="1">
                <head align="left" preservecase="true">
                  <headtext>How long should confidentiality restrictions apply for?</headtext>
                </head>
                <para>
                  <paratext>The confidentiality arrangements should always apply until completion. Sometimes the parties want the restrictions on disclosure of the detailed terms of the contract to apply after completion as well. It is not possible to prohibit disclosure of the fact of the completed sale, as that will be apparent as a result of its registration at the Land Registry.</paratext>
                </para>
                <para>
                  <paratext>In this standard clause, the buyer's obligations are expressed to apply both before and after completion. The period of application post-completion is not restricted, but the commercial sensitivity of the detailed contractual terms is likely to decline over time, so a maximum confidentiality period post completion could be inserted.</paratext>
                </para>
                <para>
                  <paratext>
                    The other purpose of this wording is to make it clear that the confidentiality arrangements benefit from any non-merger provisions of the contract. Non-merger provisions are usually included either as an express provision of the contract or implied through the use of a standard set of sale conditions, such as Standard Commercial Property Condition 10.4 (see 
                    <link anchor="a573581" href="w-007-9367" style="ACTLinkPLCtoPLC">
                      <ital>Practice note, SCPC 10: Remedies (Standard Commercial Property Conditions, Third Edition – 2018 Revision): After completion (SCPC 10.4)</ital>
                    </link>
                    ).
                  </paratext>
                </para>
                <para>
                  <paratext>
                    In practice, there is little reason for the buyer to register the contract after completion, if it did not do so beforehand. Where the buyer did protect the contract between exchange and completion but disclosure of the terms of the contract was subject to an EID submitted by the seller, that EID will continue to apply post completion. Moreover, it is the seller who controls whether and when to withdraw that request for exemption. If the buyer is keen to control when and if the EID protection from disclosure is withdrawn, the buyer should require the seller, on completion, to provide the EX3 form (withdrawing its request for EID designation) and the buyer should make its own application for EID designation (see 
                    <link anchor="a520738" href="6-107-4898" style="ACTLinkPLCtoPLC">
                      <ital>Practice note, Exempt information documents: Exemption personal to applicant</ital>
                    </link>
                    ).
                  </paratext>
                </para>
              </division>
            </drafting.note>
            <subclause1 id="a818004">
              <identifier>34.1</identifier>
              <para>
                <paratext>
                  Except as permitted by 
                  <internal.reference refid="a292997">clause 34.2</internal.reference>
                   [and 
                  <internal.reference refid="a800278">clause 34.3</internal.reference>
                  ], no party to this contract will at any time make or permit any disclosure of the existence or the terms of or any negotiations in connection with:
                </paratext>
              </para>
              <subclause2 id="a356641">
                <identifier>(a)</identifier>
                <para>
                  <paratext>this contract;</paratext>
                </para>
              </subclause2>
              <subclause2 id="a689533">
                <identifier>(b)</identifier>
                <para>
                  <paratext>any document supplied to the Buyer or its advisors in connection with this contract; or</paratext>
                </para>
              </subclause2>
              <subclause2 id="a503906">
                <identifier>(c)</identifier>
                <para>
                  <paratext>the transfer to the Buyer.</paratext>
                </para>
              </subclause2>
            </subclause1>
            <subclause1 id="a292997">
              <identifier>34.2</identifier>
              <para>
                <paratext>Disclosure is permitted to the extent that it is:</paratext>
              </para>
              <subclause2 id="a732684">
                <identifier>(a)</identifier>
                <para>
                  <paratext>necessary and desirable to enable the parties' professional advisers to carry out their duties effectively provided that the disclosing party procures that the people to whom the information is disclosed keep it confidential;</paratext>
                </para>
              </subclause2>
              <subclause2 id="a118536">
                <identifier>(b)</identifier>
                <para>
                  <paratext>required in connection with the registration of the transfer at HM Land Registry;</paratext>
                </para>
                <drafting.note id="a645065" jurisdiction="">
                  <head align="left" preservecase="true">
                    <headtext>Registering the transfer</headtext>
                  </head>
                  <division id="a000093" level="1">
                    <para>
                      <paratext>
                        <internal.reference refid="a118536">clause 34.2(b)</internal.reference>
                         permits the buyer to make any disclosures that are necessary to register the transfer. Otherwise the buyer might find it could not achieve registered proprietor status. Some information must be included on the register (such as the price paid, the names of the parties and any clauses creating an easement or restrictive covenant. EID applications to prevent disclosure of such information may be cancelled on the basis that designation of the transfer as exempt from disclosure could prejudice the keeping of the register (see 
                        <link href="6-107-4898#a616870" style="ACTLinkPLCtoPLC">
                          <ital>Practice note, Exempt information documents: Making an application</ital>
                        </link>
                        ).
                      </paratext>
                    </para>
                    <para>
                      <paratext>
                        It is relatively unusual for a transfer to contain sensitive commercial information that the parties would want to keep confidential. For this reason, an EID application is unlikely to be successful, because the transfer will not contain information that satisfies the definition of "prejudicial information" in 
                        <link href="5-508-2074" style="ACTLinkPLCtoPLC">
                          <ital>rule 131</ital>
                        </link>
                         of the LRR 2003 (see 
                        <link href="6-107-4898#a408611" style="ACTLinkPLCtoPLC">
                          <ital>Practice note, Exempt information documents: Prejudicial information</ital>
                        </link>
                        ).
                      </paratext>
                    </para>
                    <para>
                      <paratext>If the transfer will contain confidential information that is not required for the proper keeping of the register, then the standard clause should be adapted to require the buyer to make an EID application in relation to the relevant sections of the transfer.</paratext>
                    </para>
                  </division>
                </drafting.note>
              </subclause2>
              <subclause2 id="a492895">
                <identifier>(c)</identifier>
                <para>
                  <paratext>required to make any filing with, or obtain any authorisation from, a tax authority;</paratext>
                </para>
              </subclause2>
              <subclause2 id="a698760">
                <identifier>(d)</identifier>
                <para>
                  <paratext>required to protect the disclosing party's interest in any legal proceedings;</paratext>
                </para>
              </subclause2>
              <subclause2 id="a725097">
                <identifier>(e)</identifier>
                <para>
                  <paratext>required by law, court order or any regulatory body or governmental authority or by the rules of the UK Listing Authority, the London Stock Exchange [or any other recognised stock exchange] (whether directly or indirectly);</paratext>
                </para>
              </subclause2>
              <subclause2 id="a905411">
                <identifier>(f)</identifier>
                <para>
                  <paratext>necessary to notify any rating or other public authority or utility supplier of new ownership of the Property;</paratext>
                </para>
              </subclause2>
              <subclause2 condition="optional" id="a784375">
                <identifier>(g)</identifier>
                <para>
                  <paratext>necessary in connection with the conduct of the Seller's or the Buyer's business to notify any person of the change of address;</paratext>
                </para>
              </subclause2>
              <subclause2 id="a459070">
                <identifier>(h)</identifier>
                <para>
                  <paratext>necessary for the purposes of any subsequent dealing with, or financing of, the Property by the Buyer;</paratext>
                </para>
              </subclause2>
              <subclause2 condition="optional" id="a513133">
                <identifier>(i)</identifier>
                <para>
                  <paratext>necessary to comply with any obligation in the Lease to notify the Landlord and any Superior Landlord of the transfer;</paratext>
                </para>
                <drafting.note id="a294757" jurisdiction="">
                  <head align="left" preservecase="true">
                    <headtext>Interest being transferred is leasehold</headtext>
                  </head>
                  <division id="a000094" level="1">
                    <para>
                      <paratext>Only insert this where the property being transferred is leasehold.</paratext>
                    </para>
                  </division>
                </drafting.note>
              </subclause2>
              <subclause2 id="a416511">
                <identifier>(j)</identifier>
                <para>
                  <paratext>
                    required under any arrangements in place under which negotiations relating to terms and conditions of employment are conducted[.
                    <bold>OR</bold>
                    ; or]
                  </paratext>
                </para>
                <drafting.note id="a403838" jurisdiction="">
                  <head align="left" preservecase="true">
                    <headtext>TUPE</headtext>
                  </head>
                  <division id="a000095" level="1">
                    <para>
                      <paratext>
                        If the transaction is one to which the 
                        <link href="2-505-5915" style="ACTLinkPLCtoPLC">
                          <ital>Transfer of Undertakings (Protection of Employment) Regulations 2006 (SI 2006/246)</ital>
                        </link>
                         (TUPE) applies, the seller and buyer have an obligation to inform and (if appropriate) consult with recognised trade unions or elected employee representatives in relation to any affected employees (
                        <link href="6-509-0399" style="ACTLinkPLCtoPLC">
                          <ital>regulation 13</ital>
                        </link>
                        , TUPE). For more information on TUPE, see Practice notes:
                      </paratext>
                    </para>
                    <list type="bulleted">
                      <list.item>
                        <para>
                          <paratext>
                            <link href="8-202-1704" style="ACTLinkPLCtoPLC">
                              <ital>TUPE: overview</ital>
                            </link>
                            .
                          </paratext>
                        </para>
                      </list.item>
                      <list.item>
                        <para>
                          <paratext>
                            <link href="6-502-7628" style="ACTLinkPLCtoPLC">
                              <ital>TUPE (9): application to property transactions</ital>
                            </link>
                            .
                          </paratext>
                        </para>
                      </list.item>
                      <list.item>
                        <para>
                          <paratext>
                            <link href="w-008-0934" style="ACTLinkPLCtoPLC">
                              <ital>Practice note, Property contracts: dealing with employees and others working at the property: (SCPC (Third Edition - 2018 Revision))</ital>
                            </link>
                            .
                          </paratext>
                        </para>
                      </list.item>
                    </list>
                  </division>
                </drafting.note>
              </subclause2>
              <subclause2 id="a965784">
                <identifier>(k)</identifier>
                <para>
                  <paratext>necessary to notify the Occupational Tenant[s].</paratext>
                </para>
                <drafting.note id="a154335" jurisdiction="">
                  <head align="left" preservecase="true">
                    <headtext>Duty to notify occupational tenants</headtext>
                  </head>
                  <division id="a000096" level="1">
                    <para>
                      <paratext>Only insert where there are occupational tenants.</paratext>
                    </para>
                  </division>
                </drafting.note>
                <para>
                  <paratext>but the disclosing party will (to the extent permitted by law) use reasonable endeavours to consult the other party and to take into account any reasonable requests it may have in relation to the disclosure before making it.</paratext>
                </para>
              </subclause2>
            </subclause1>
            <subclause1 condition="optional" id="a800278">
              <identifier>34.3</identifier>
              <para>
                <paratext>[The Buyer will not note this contract against the Seller's registered title either before or after completion other than by virtue of an unilateral notice and will not without the consent of the Seller (in the absolute discretion of the Seller) send this contract or a copy of it to HM Land Registry.</paratext>
              </para>
              <para>
                <paratext>
                  <bold>OR</bold>
                </paratext>
              </para>
              <para>
                <paratext>The Buyer will not note this contract against the Seller's registered title either before or after completion:</paratext>
              </para>
              <subclause2 condition="optional" id="a568102">
                <identifier>(a)</identifier>
                <para>
                  <paratext>without giving the Seller not less than [NUMBER] working days' notice of its intention to do so in writing; and</paratext>
                </para>
              </subclause2>
              <subclause2 condition="optional" id="a219664">
                <identifier>(b)</identifier>
                <para>
                  <paratext>if required by the Seller, submitting with the Buyer's application to HM Land Registry forms EX1 and EX1A as completed by the Seller (subject to the Seller providing such completed forms and the requisite Land Registry fee by the time of the Buyer's application to HM Land Registry).]</paratext>
                </para>
                <drafting.note id="a475256" jurisdiction="">
                  <head align="left" preservecase="true">
                    <headtext>Controlling the buyer's registration of notices</headtext>
                  </head>
                  <division id="a787709" level="1">
                    <head align="left" preservecase="true">
                      <headtext>Permitting the registration of unilateral notices</headtext>
                    </head>
                    <para>
                      <paratext>If a seller has confidentiality concerns, a unilateral notice (as opposed to an agreed notice) may go some way to satisfying them, without the seller having to make an application to designate the contract an EID.  However, simply restricting the buyer to using a unilateral notice will not wholly deal with a seller's confidentiality concerns because:</paratext>
                    </para>
                    <list type="bulleted">
                      <list.item>
                        <para>
                          <paratext>
                            A copy of the contract may be submitted with an application for a unilateral notice; the rules do not prohibit this. So the first option in 
                            <internal.reference refid="a800278">clause 34.3</internal.reference>
                             prohibits the buyer from doing so.
                          </paratext>
                        </para>
                      </list.item>
                      <list.item>
                        <para>
                          <paratext>
                            The application form for a unilateral notice requires the buyer to give details of its interest in panels 11 and 12 of Form UN1. It might choose to do so in a way which disclosed more extensive details of the sale contract terms than is strictly necessary to achieve registration of the unilateral notice. The Form UN1 will itself be a "relevant document" under 
                            <link href="9-508-8371" style="ACTLinkPLCtoPLC">
                              <ital>rule 136</ital>
                            </link>
                             and will be open to public inspection. This might lead to disclosure of some of the confidential contract terms. If concerned about this, the seller should amend the clause to require the application form to be shown to it before submission and for its prior approval of the wording to be obtained before the Form UN1 is submitted to the Land Registry.
                          </paratext>
                        </para>
                      </list.item>
                    </list>
                  </division>
                  <division id="a655193" level="1">
                    <head align="left" preservecase="true">
                      <headtext>Permitting the registration of agreed notices</headtext>
                    </head>
                    <para>
                      <paratext>
                        The second option in 
                        <internal.reference refid="a800278">clause 34.3</internal.reference>
                         requires the buyer to warn the seller of any intended application to register a unilateral or agreed notice. This gives the seller a chance to establish whether the confidentiality arrangements may be compromised by this process. The clause also requires the buyer to submit any EID application forms that the seller provides in time. This obligation is only applicable where the buyer is submitting an application for an agreed notice and therefore has to lodge a copy of the contract.
                      </paratext>
                    </para>
                    <para>
                      <paratext>
                        The relevant forms that the seller may provide are 
                        <link href="8-106-6755" style="ACTLinkPLCtoPLC">
                          <ital>Form EX1A</ital>
                        </link>
                         and 
                        <link href="1-106-6754" style="ACTLinkPLCtoPLC">
                          <ital>Form EX1</ital>
                        </link>
                        . The seller can submit these independently of the buyer's application. Note that although Form EX1A is exempt from the general rights of inspection and copying, Form EX1 and any accompanying correspondence are not so exempt.
                      </paratext>
                    </para>
                    <para>
                      <paratext>
                        If the buyer intends to make an outline application in respect of the notice, it may be able to give the seller a bit more time to provide it with the necessary information (the buyer will need to submit the information prior to the expiry of the reserved period otherwise its application will be cancelled). The reserved period granted by a valid outline application commences at the date and time it is entered on the day list and expires at 12 noon on the fourth business day, following the day that the outline application was taken to be made (
                        <link href="2-528-1150" style="ACTLinkPLCtoPLC">
                          <ital>rule 54(9)</ital>
                        </link>
                        , LRR 2003).
                      </paratext>
                    </para>
                    <para>
                      <paratext>For more information on the Land Registry procedure and outline applications, see:</paratext>
                    </para>
                    <list type="bulleted">
                      <list.item>
                        <para>
                          <paratext>
                            <link href="6-107-3912" style="ACTLinkPLCtoPLC">
                              <ital>The day list, priority searches and outline applications</ital>
                            </link>
                            .
                          </paratext>
                        </para>
                      </list.item>
                      <list.item>
                        <para>
                          <paratext>
                            <link href="0-106-6721" style="ACTLinkPLCtoPLC">
                              <ital>Land Registry Practice Guide 12 - Official searches and outline applications</ital>
                            </link>
                            .
                          </paratext>
                        </para>
                      </list.item>
                    </list>
                  </division>
                </drafting.note>
              </subclause2>
            </subclause1>
          </clause>
        </operative>
        <testimonium default="true" wording="contract">
          <para>
            <paratext>This contract has been entered into on the date stated at the beginning of it.</paratext>
          </para>
        </testimonium>
        <disclosure.schedule>
          <schedule id="a859645">
            <identifier>Schedule 1</identifier>
            <head align="left" preservecase="true">
              <headtext>Agri-environment Agreements</headtext>
            </head>
            <clause id="a000097">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 and reference number</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515502">
            <identifier>Schedule 2</identifier>
            <head align="left" preservecase="true">
              <headtext>Contents/Chattels</headtext>
            </head>
          </schedule>
          <schedule id="a335094">
            <identifier>Schedule 3</identifier>
            <head align="left" preservecase="true">
              <headtext>Documents of title referred to in clause 6</headtext>
            </head>
            <clause id="a000098">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743158">
            <identifier>Schedule 4</identifier>
            <head align="left" preservecase="true">
              <headtext>Livestock</headtext>
            </head>
          </schedule>
          <schedule condition="optional" id="a897440">
            <identifier>Schedule 5</identifier>
            <head align="left" preservecase="true">
              <headtext>Plant, Equipment and Machinery</headtext>
            </head>
          </schedule>
          <schedule condition="optional" id="a690326">
            <identifier>Schedule 6</identifier>
            <head align="left" preservecase="true">
              <headtext>Woodland Grant Agreements</headtext>
            </head>
            <clause id="a000099">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 and reference number</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622659">
            <identifier>Schedule 7</identifier>
            <head align="left" preservecase="true">
              <headtext>Service Contracts</headtext>
            </head>
            <clause id="a000100">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98056">
            <identifier>Schedule 8</identifier>
            <head align="left" preservecase="true">
              <headtext>Capital allowances election</headtext>
            </head>
            <drafting.note id="a539415" jurisdiction="">
              <head align="left" preservecase="true">
                <headtext>Capital allowances election (optional Schedule)</headtext>
              </head>
              <division id="a000101" level="1">
                <para>
                  <paratext>
                    This schedule is optional and should only be inserted if 
                    <internal.reference refid="a333383">clause 15</internal.reference>
                     has been inserted. Parties should engage with their client in a timely manner and seek specialist advice from either a tax lawyer, accountant or capital allowances specialist in relation to capital allowances.
                  </paratext>
                </para>
                <para>
                  <paratext>
                    For guidance on issues to consider when drafting and negotiating a clause in a commercial property sale contract dealing with plant and machinery capital allowances, see the drafting notes in 
                    <link href="2-200-0672" style="ACTLinkPLCtoPLC">
                      <ital>Standard document, Capital allowances: fixtures election</ital>
                    </link>
                    .
                  </paratext>
                </para>
                <para>
                  <paratext>
                    For a discussion of the availability of plant and machinery capital allowances on fixtures in buildings, see 
                    <link href="w-031-3715" style="ACTLinkPLCtoPLC">
                      <ital>Practice note, Capital allowances: fixtures in buildings and on land</ital>
                    </link>
                    .
                  </paratext>
                </para>
              </division>
            </drafting.note>
            <part id="a113504">
              <identifier>Part 1</identifier>
              <head align="left" preservecase="true">
                <headtext>Making of an election</headtext>
              </head>
              <drafting.note id="a176250" jurisdiction="">
                <head align="left" preservecase="true">
                  <headtext>Making of an election</headtext>
                </head>
                <division id="a443283" level="1">
                  <head align="left" preservecase="true">
                    <headtext>Important points about elections</headtext>
                  </head>
                  <list type="bulleted">
                    <list.item>
                      <para>
                        <paratext>Generally, an election will bind the buyer and the seller as well as HMRC.</paratext>
                      </para>
                    </list.item>
                    <list.item>
                      <para>
                        <paratext>An election is irrevocable, but if it does not contain all the statutory information, or if it is otherwise deficient, it may not take effect as an election.</paratext>
                      </para>
                    </list.item>
                    <list.item>
                      <para>
                        <paratext>An election must be notified to an officer of HMRC within two years of completion.</paratext>
                      </para>
                    </list.item>
                    <list.item>
                      <para>
                        <paratext>The seller and the buyer must each submit a copy of the election along with their first tax returns in respect of the period for which the election has effect.</paratext>
                      </para>
                    </list.item>
                    <list.item>
                      <para>
                        <paratext>The amount fixed by an election must be quantified at the time the election is made.</paratext>
                      </para>
                    </list.item>
                    <list.item>
                      <para>
                        <paratext>The elected amount must not exceed the amount incurred on the fixtures by the seller or the sale price of the property.</paratext>
                      </para>
                    </list.item>
                    <list.item>
                      <para>
                        <paratext>
                          The notice must state information sufficient to identify the plant and machinery (see 
                          <internal.reference refid="a407509">Drafting note, Detailing the fixed plant in the election</internal.reference>
                          ).
                        </paratext>
                      </para>
                    </list.item>
                    <list.item>
                      <para>
                        <paratext>A seller that has not claimed (and does not claim) allowances cannot make an election.</paratext>
                      </para>
                    </list.item>
                    <list.item>
                      <para>
                        <paratext>A buyer that cannot, or is not intending to, claim allowances may still make an election (if the seller is able to).</paratext>
                      </para>
                    </list.item>
                  </list>
                  <division id="a642183" level="2">
                    <head align="left" preservecase="true">
                      <headtext>Negotiating the election</headtext>
                    </head>
                    <para>
                      <paratext>Sellers and buyers can often take up diametrically opposed positions on the amount that should be apportioned to fixed plant in the election. The amount that is included in an election is, essentially, a matter of negotiation between the seller and the buyer. The following typical amounts apportioned to fixed plant, which are not exhaustive, are frequently included in elections:</paratext>
                    </para>
                    <list type="bulleted">
                      <list.item>
                        <para>
                          <paratext>A nominal amount, for example, £1 apportioned to the fixtures in the main pool and £1 apportioned to the fixtures in the special rate pool) (seller's optimum position).</paratext>
                        </para>
                      </list.item>
                      <list.item>
                        <para>
                          <paratext>An amount equal to the seller's original cost of the fixed plant (buyer’s optimum position).</paratext>
                        </para>
                      </list.item>
                      <list.item>
                        <para>
                          <paratext>An amount equal to the seller's tax written down value of the fixed plant (compromise position).</paratext>
                        </para>
                      </list.item>
                    </list>
                    <para>
                      <paratext>
                        For more information, see 
                        <link anchor="a210727" href="w-031-3715" style="ACTLinkPLCtoPLC">
                          <ital>Practice note, Capital allowances: fixtures in buildings and on land: Section 198 and 199 elections</ital>
                        </link>
                        .
                      </paratext>
                    </para>
                  </division>
                  <division id="a407509" level="2">
                    <head align="left" preservecase="true">
                      <headtext>Detailing the fixed plant in the election</headtext>
                    </head>
                    <para>
                      <paratext>
                        A valid election must "state information sufficient to identify the plant and machinery" on which the seller has claimed allowances (
                        <link href="4-508-8910" style="ACTLinkPLCtoPLC">
                          <ital>section 201(3)(c)</ital>
                        </link>
                        <ital>, CAA 2001</ital>
                        ). Strictly, the rules require an asset-by-asset apportionment. However, HMRC states that it will allow "a degree of amalgamation of assets where this will not distort the tax computation" (
                        <link href="http://www.hmrc.gov.uk/manuals/camanual/CA26850.htm" style="ACTLinkURL">
                          <ital>HMRC Capital Allowances Manual: CA26850</ital>
                        </link>
                        ). Historically, HMRC has accepted elections that have contained a remarkable lack of detail (for example, "all fixed plant and machinery in 10 Greenacre..."). It is difficult to see how this complies with the statutory requirements.
                      </paratext>
                    </para>
                    <para>
                      <paratext>The preferred approach is for the election to identify as precisely as possible those fixtures upon which the seller has pooled its expenditure, together with the amount apportioned to those fixtures detailed. The level of detail that is possible will depend on the particular case and on the extent of the fixtures in the building. The degree to which the fixtures have been detailed for the purposes of submitting the seller's claim may, in practice, dictate the level of detail that will be available to be included in the election.</paratext>
                    </para>
                    <para>
                      <paratext>Although elections will rarely, if ever, detail fixtures item-by-item, the election should at least amalgamate or categorise fixtures in a way that maximises their identification. Ideally, it should be possible to determine whether the seller has made a claim in relation to a particular fixture.</paratext>
                    </para>
                    <para>
                      <paratext>HMRC states that, at the very least, elections must distinguish between:</paratext>
                    </para>
                    <list type="bulleted">
                      <list.item>
                        <para>
                          <paratext>Integral features (and other expenditure allocated to the special rate pool), which attract WDAs at 6%.</paratext>
                        </para>
                      </list.item>
                      <list.item>
                        <para>
                          <paratext>Fixtures, which attract WDAs at 18%, allocated to the main pool.</paratext>
                        </para>
                      </list.item>
                    </list>
                    <para>
                      <paratext>
                        (
                        <link href="http://www.hmrc.gov.uk/manuals/camanual/CA26850.htm" style="ACTLinkURL">
                          <ital>HMRC Capital Allowances Manual:CA26850.</ital>
                        </link>
                        )
                      </paratext>
                    </para>
                    <para>
                      <paratext>Even though HMRC may have taken a relatively lenient view on fixtures identification in the past, there is a possibility that under the new regime HMRC will take a harder line on this issue.</paratext>
                    </para>
                  </division>
                  <division id="a482500" level="2">
                    <head align="left" preservecase="true">
                      <headtext>First-year allowances</headtext>
                    </head>
                    <para>
                      <paratext>Two first-year allowances (FYAs) are available for companies that incur qualifying expenditure on new (that is, unused and not second-hand) plant and machinery on or after 1 April 2023 but before 1 April 2026 (although this sunset date is to be removed by the Finance Bill 2024 to make these FYAs permanent):</paratext>
                    </para>
                    <list type="bulleted">
                      <list.item>
                        <para>
                          <paratext>A 100% FYA for main rate expenditure (referred to as full expensing).</paratext>
                        </para>
                      </list.item>
                      <list.item>
                        <para>
                          <paratext>A 50% FYA for special rate expenditure.</paratext>
                        </para>
                      </list.item>
                    </list>
                    <para>
                      <paratext>Before the introduction of these FYAs, the Finance Act 2021 introduced two temporary FYAs that also applied to expenditure by companies on new plant and machinery that was incurred on or after 1 April 2021 but before 1 April 2023:</paratext>
                    </para>
                    <list type="bulleted">
                      <list.item>
                        <para>
                          <paratext>The "super-deduction", which allowed companies within the charge to corporation tax to deduct 130% of expenditure on new qualifying plant and machinery eligible for writing-down allowances at the main pool rate of 18% a year.</paratext>
                        </para>
                      </list.item>
                      <list.item>
                        <para>
                          <paratext>The "SR allowance", which allowed companies within the charge to corporation tax to deduct 50% of the expenditure on new qualifying plant and machinery eligible for writing-down allowances at the special pool rate of 6% a year.</paratext>
                        </para>
                      </list.item>
                    </list>
                    <para>
                      <paratext>
                        A feature of these FYAs is that, if an asset on which an FYA has been claimed is disposed of, the taxpayer will be subject to a balancing charge (unless the disposal value is nil) (see 
                        <link anchor="a126846" href="w-039-0368" style="ACTLinkPLCtoPLC">
                          <ital>Practice notes, Capital allowances on plant and machinery: first-year allowances: Disposals</ital>
                        </link>
                         and 
                        <link anchor="a126846" href="w-030-4995" style="ACTLinkPLCtoPLC">
                          <ital>Capital allowances on plant and machinery: Super-deductions and special rate allowances: Disposals</ital>
                        </link>
                        ).
                      </paratext>
                    </para>
                    <para>
                      <paratext>As sellers may incur significant balancing charges on fair value apportionments to plant and machinery fixtures on which these FYAs have been claimed, it is possible that sellers may argue strongly for low apportionments to such plant and machinery to be included in fixtures elections. Buyers may want to resist this (since it reduces the amount on which they will be able to claim plant and machinery allowances on those fixtures). It is also unclear whether HMRC might decide to challenge low or nominal value apportionments to plant and machinery motivated by a desire to avoid a balancing charge.</paratext>
                    </para>
                  </division>
                  <division id="a415660" level="2">
                    <head align="left" preservecase="true">
                      <headtext>Special tax sites within freeports and investment zones</headtext>
                    </head>
                    <para>
                      <paratext>
                        The government has introduced tax benefits in areas designated as special tax sites within a freeport or investment zone. Among the favourable tax benefits are 100% FYAs for expenditure on new plant and machinery bought primarily for use in a special tax site (designated as such at the time that the expenditure is incurred). Various conditions must be met before a claim for 100% FYAs may be made, including that the plant or machinery is new and unused. Unlike the FYAs referred to in 
                        <internal.reference refid="a482500">Drafting note, First-year allowances</internal.reference>
                        , disposals of plant and machinery located in a special tax site will not automatically give rise to a balancing charge for the seller. The disposal proceeds are brought into account in the relevant pool (main pool or special rate pool) and a balancing charge arises only if the disposal proceeds exceed the unrelieved qualifying expenditure in the pool.
                      </paratext>
                    </para>
                    <para>
                      <paratext>There seems to be no reason why the seller and buyer cannot agree an apportionment of the price within a section 198 election for plant and machinery fixtures in respect of which FYAs have been claimed because they are in a special tax site.</paratext>
                    </para>
                  </division>
                  <division id="a889998" level="2">
                    <head align="left" preservecase="true">
                      <headtext>Approach to FYAs in this document</headtext>
                    </head>
                    <para>
                      <paratext>
                        As noted in 
                        <internal.reference refid="a482500">Drafting note, First-year allowances</internal.reference>
                        , the sale of a property in respect of which the FYAs referred to have been claimed on fixtures is likely to trigger a balancing charge for the seller. The higher the disposal value for those fixtures, the higher the amount of any balancing charge (capped at the amount of the seller's original expenditure on the fixtures). Therefore, the seller may wish to apportion as low a sum as possible to such fixtures.
                      </paratext>
                    </para>
                    <para>
                      <paratext>
                        A separate calculation is necessary to establish the seller's balancing charge on a disposal of plant and machinery fixtures for which a claim to these FYAs has been made. The section 198 election should at least distinguish between special rate and main rate plant and machinery fixtures (see 
                        <internal.reference refid="a407509">Drafting note, Detailing the fixed plant in the election</internal.reference>
                        ).
                      </paratext>
                    </para>
                    <para>
                      <paratext>If the plant and machinery fixtures include items in respect of which a claim to these FYAs (or enhanced allowances relating to a special tax site) has been made (and items that have not), the parties can agree a separate disposal value for those items. While seemingly not an absolute requirement, it is understood that HMRC has indicated that it would be helpful for section 198 elections to separate out fixed plant and machinery fixtures that have attracted allowances at different rates.</paratext>
                    </para>
                    <para>
                      <paratext>Therefore, if the seller has claimed FYAs on some fixtures and writing-down allowances on others, best practice is to separately identify these (and attribute an apportioned sum to them) in the special rate or main pool schedules (as appropriate).</paratext>
                    </para>
                    <para>
                      <paratext>For more information on the use of section 198 elections in relation to FYAs, see Practice notes:</paratext>
                    </para>
                    <list type="bulleted">
                      <list.item>
                        <para>
                          <paratext>
                            <link anchor="a346690" href="w-039-0368" style="ACTLinkPLCtoPLC">
                              <ital>Capital allowances on plant and machinery: first-year allowances: FYAs and price apportionment</ital>
                            </link>
                            .
                          </paratext>
                        </para>
                      </list.item>
                      <list.item>
                        <para>
                          <paratext>
                            <link anchor="a346690" href="w-030-4995" style="ACTLinkPLCtoPLC">
                              <ital>Capital allowances on plant and machinery: Super-deductions and special rate allowances: Temporary FYAs and price apportionment</ital>
                            </link>
                            .
                          </paratext>
                        </para>
                      </list.item>
                    </list>
                  </division>
                </division>
              </drafting.note>
              <clause id="a927875">
                <identifier>1.</identifier>
                <para>
                  <paratext>
                    The following definitions apply in this 
                    <internal.reference refid="a98056">Schedule 8</internal.reference>
                    :
                  </paratext>
                </para>
                <para>
                  <paratext>
                    <defn.term>Election</defn.term>
                    : a capital allowances election pursuant to section 198 of the CAA 2001.
                  </paratext>
                </para>
                <para>
                  <paratext>
                    <defn.term>Elected Figure</defn.term>
                    : the value of the Fixed Plant in accordance with the apportionment set out in the Election.
                  </paratext>
                </para>
                <para>
                  <paratext>
                    <defn.term>Fixed Plant</defn.term>
                    : such plant and machinery (within the meaning of CAA 2001) as constitutes a fixture or fixtures on which the Seller is, or will be, required to bring a disposal value into account on the sale of the Property as detailed in the Election.
                  </paratext>
                </para>
              </clause>
              <clause id="a940831">
                <identifier>2.</identifier>
                <para>
                  <paratext>On Completion, the Seller and the Buyer shall sign in respect of the Property in duplicate the Election agreeing to the Elected Figure, being the disposal value for the Fixed Plant required to be brought into account by the Seller and falling to be treated as expenditure incurred by the Buyer on the provision of the Fixed Plant.</paratext>
                </para>
              </clause>
              <clause id="a757477">
                <identifier>3.</identifier>
                <para>
                  <paratext>
                    The Seller and the Buyer shall each submit the Election in the form set out in 
                    <internal.reference refid="a82377">Part 2</internal.reference>
                     of this 
                    <internal.reference refid="a98056">Schedule 8</internal.reference>
                     to HM Revenue &amp; Customs within the time limit prescribed by law and take all reasonable steps to procure that the Elected Figure is accepted by HM Revenue &amp; Customs.
                  </paratext>
                </para>
              </clause>
              <clause id="a120588">
                <identifier>4.</identifier>
                <para>
                  <paratext>The Seller and the Buyer agree to reflect the Elected Figure in their respective tax (capital allowances) computations and returns.</paratext>
                </para>
              </clause>
              <clause id="a768607">
                <identifier>5.</identifier>
                <para>
                  <paratext>To enable the Buyer to make and substantiate claims under CAA 2001 in respect of the Property, the Seller shall use its reasonable endeavours to provide, or to procure that its agents provide:</paratext>
                </para>
                <subclause1 id="a754591">
                  <identifier>5.1</identifier>
                  <para>
                    <paratext>copies of all relevant information in its possession or that of its agents; and</paratext>
                  </para>
                </subclause1>
                <subclause1 id="a92032">
                  <identifier>5.2</identifier>
                  <para>
                    <paratext>such cooperation and assistance as the Buyer may reasonably require.</paratext>
                  </para>
                </subclause1>
              </clause>
              <clause id="a888802">
                <identifier>6.</identifier>
                <para>
                  <paratext>The Buyer agrees that:</paratext>
                </para>
                <subclause1 id="a155792">
                  <identifier>6.1</identifier>
                  <para>
                    <paratext>
                      it will only use such information as is provided pursuant to 
                      <internal.reference refid="a768607">paragraph 5</internal.reference>
                       for the stated purpose; and
                    </paratext>
                  </para>
                </subclause1>
                <subclause1 id="a470169">
                  <identifier>6.2</identifier>
                  <para>
                    <paratext>it will not disclose, without the consent of the Seller, any such information which the Seller expressly provides on a confidential basis.</paratext>
                  </para>
                </subclause1>
              </clause>
              <clause id="a982219">
                <identifier>7.</identifier>
                <para>
                  <paratext>If for any reason the Election, or the notification of it, is deficient, ineffective or otherwise not accepted by HM Revenue &amp; Customs, the Seller and the Buyer shall each take all reasonable steps necessary to obtain the agreement of HM Revenue &amp; Customs to the apportionment specified in the Election for the purposes of capital allowances including making any amendments to the Election or the signing of a replacement election (in either case, to the extent possible).</paratext>
                </para>
              </clause>
            </part>
            <part id="a82377">
              <identifier>Part 2</identifier>
              <head align="left" preservecase="true">
                <headtext>Notice of an election to use an alternative apportionment in accordance with section 198 of the Capital Allowances Act 2001</headtext>
              </head>
              <drafting.note id="a311062" jurisdiction="">
                <head align="left" preservecase="true">
                  <headtext>Notice of an election to use an alternative apportionment in accordance with section 198 of the CAA 2001</headtext>
                </head>
                <division id="a000102" level="1">
                  <para>
                    <paratext>
                      This part contains the form of the notice of election to use an alternative apportionment under the 
                      <link href="9-506-0112" style="ACTLinkPLCtoPLC">
                        <ital>CAA 2001</ital>
                      </link>
                      . The items in the list are by way of example. Identification of the fixtures should be as detailed as possible (see 
                      <internal.reference refid="a407509">Drafting note, Detailing the fixed plant in the election</internal.reference>
                      ).
                    </paratext>
                  </para>
                  <para>
                    <paratext>This part contains two separate headings under which fixtures are detailed. The first heading should identify those fixtures that are included in the seller's special rate pool and the second heading should identify those fixtures that are included in the seller's main pool of plant and machinery expenditure. As noted above, HMRC states that, at the very least, elections must distinguish between integral features allocated to the special rate pool and other expenditure allocated to the main pool. This is to distinguish between plant and machinery fixtures that have attracted different rates of allowances.</paratext>
                  </para>
                  <para>
                    <paratext>Before 1 or 6 April 2008, expenditure incurred on plant and machinery that would be regarded as integral features if incurred after that date either did not qualify for allowances or would have been included in the main pool, attracting allowances at the higher rate. Accordingly, if the seller acquired the property before 1 or 6 April 2008, the seller may have incurred expenditure on:</paratext>
                  </para>
                  <list type="bulleted">
                    <list.item>
                      <para>
                        <paratext>
                          Plant and machinery not qualifying for allowances, but which will qualify as expenditure on integral features in the buyer's hands. This expenditure is not included in the election and the buyer may be entitled to allowances on a just and reasonable apportionment basis (see 
                          <link anchor="a805963" href="6-362-6968" style="ACTLinkPLCtoPLC">
                            <ital>Practice note, Capital allowances: overview: Just and reasonable apportionment of costs</ital>
                          </link>
                          ).
                        </paratext>
                      </para>
                    </list.item>
                    <list.item>
                      <para>
                        <paratext>Plant and machinery qualifying for allowances and included in the seller's main pool, but which will be integral features expenditure in the buyer's hands. Ideally, this expenditure should be separately identified (and an amount apportioned to it) in the election.</paratext>
                      </para>
                    </list.item>
                  </list>
                  <para>
                    <paratext>
                      For more information, see 
                      <link anchor="a885716" href="w-031-3715" style="ACTLinkPLCtoPLC">
                        <ital>Practice notes, Capital allowances: fixtures in buildings and on land: Restrictions not applying to certain integral features</ital>
                      </link>
                      <ital> </ital>
                      and 
                      <link anchor="a403332" href="w-031-3848" style="ACTLinkPLCtoPLC">
                        <ital>Capital allowances: availability and types of plant and machinery allowances: Integral features</ital>
                      </link>
                      .
                    </paratext>
                  </para>
                </division>
              </drafting.note>
              <clause id="a000103">
                <para>
                  <paratext>
                    <table frame="all" pgwide="1">
                      <tgroup cols="2">
                        <colspec colname="1" colnum="1" colwidth="39"/>
                        <colspec colname="2" colnum="2" colwidth="60"/>
                        <tbody>
                          <row>
                            <entry valign="top">
                              <para align="left">
                                <paratext>
                                  <bold>Property address:</bold>
                                </paratext>
                              </para>
                            </entry>
                            <entry valign="top">
                              <para>
                                <paratext/>
                              </para>
                            </entry>
                          </row>
                          <row>
                            <entry valign="top">
                              <para align="left">
                                <paratext>
                                  <bold>Interest:</bold>
                                </paratext>
                              </para>
                            </entry>
                            <entry valign="top">
                              <para>
                                <paratext/>
                              </para>
                            </entry>
                          </row>
                          <row>
                            <entry valign="top">
                              <para align="left">
                                <paratext>
                                  <bold>Title number:</bold>
                                </paratext>
                              </para>
                            </entry>
                            <entry valign="top">
                              <para>
                                <paratext/>
                              </para>
                            </entry>
                          </row>
                          <row>
                            <entry valign="top">
                              <para align="left">
                                <paratext>
                                  <bold>Seller's name and address:</bold>
                                </paratext>
                              </para>
                            </entry>
                            <entry valign="top">
                              <para>
                                <paratext/>
                              </para>
                            </entry>
                          </row>
                          <row>
                            <entry valign="top">
                              <para align="left">
                                <paratext>
                                  <bold>Seller's Unique Taxpayer Reference Number:</bold>
                                </paratext>
                              </para>
                            </entry>
                            <entry valign="top">
                              <para align="left">
                                <paratext>[If Seller does not have one, include this statement: The Seller does not have a Unique Taxpayer Reference Number.]</paratext>
                              </para>
                            </entry>
                          </row>
                          <row>
                            <entry valign="top">
                              <para align="left">
                                <paratext>
                                  <bold>Buyer's name and address:</bold>
                                </paratext>
                              </para>
                            </entry>
                            <entry valign="top">
                              <para>
                                <paratext/>
                              </para>
                            </entry>
                          </row>
                          <row>
                            <entry valign="top">
                              <para align="left">
                                <paratext>
                                  <bold>Buyer's Unique Taxpayer Reference Number:</bold>
                                </paratext>
                              </para>
                            </entry>
                            <entry valign="top">
                              <para align="left">
                                <paratext>[If the Buyer does not have one, include the following statement: The Buyer does not have a Unique Taxpayer Reference Number.]</paratext>
                              </para>
                            </entry>
                          </row>
                          <row>
                            <entry valign="top">
                              <para align="left">
                                <paratext>
                                  <bold>Date of completion of sale:</bold>
                                </paratext>
                              </para>
                            </entry>
                            <entry valign="top">
                              <para>
                                <paratext/>
                              </para>
                            </entry>
                          </row>
                          <row>
                            <entry valign="top">
                              <para align="left">
                                <paratext>
                                  <bold>Amount apportioned to plant and machinery fixtures in the Seller's special rate pool:</bold>
                                </paratext>
                              </para>
                            </entry>
                            <entry valign="top">
                              <para>
                                <paratext/>
                              </para>
                            </entry>
                          </row>
                          <row>
                            <entry valign="top">
                              <para align="left">
                                <paratext>
                                  <bold>Amount apportioned to plant and machinery fixtures in the Seller's main pool:</bold>
                                </paratext>
                              </para>
                            </entry>
                            <entry valign="top">
                              <para>
                                <paratext/>
                              </para>
                            </entry>
                          </row>
                          <row>
                            <entry valign="top">
                              <para align="left">
                                <paratext>
                                  <bold>Sale price:</bold>
                                </paratext>
                              </para>
                            </entry>
                            <entry valign="top">
                              <para>
                                <paratext/>
                              </para>
                            </entry>
                          </row>
                        </tbody>
                      </tgroup>
                    </table>
                  </paratext>
                </para>
              </clause>
              <para>
                <paratext>The Seller and the Buyer hereby jointly elect pursuant to the provisions of section 198 of the CAA 2001 that the amount which, for all purposes of Part 2 of the CAA 2001, is to be taken as the portion of the sale price of the interest specified above which falls to be included as expenditure incurred by the Buyer on the provision of plant and machinery fixtures is £[AMOUNT]. A list of the fixtures and the amount to be apportioned to them is set out below.</paratext>
              </para>
              <para>
                <paratext>
                  <bold>Integral features and other plant and machinery fixtures in the special rate pool</bold>
                </paratext>
              </para>
              <clause id="a000104">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Electrical systems (including lighting systems)</paratext>
                              </para>
                            </entry>
                            <entry valign="top">
                              <para>
                                <paratext/>
                              </para>
                            </entry>
                          </row>
                          <row>
                            <entry valign="top">
                              <para align="left">
                                <paratext>Cold water systems</paratext>
                              </para>
                            </entry>
                            <entry valign="top">
                              <para>
                                <paratext/>
                              </para>
                            </entry>
                          </row>
                          <row>
                            <entry valign="top">
                              <para align="left">
                                <paratext>Space or water heating systems, powered systems of ventilation, air cooling or air purification, and any floor or ceiling comprised of such systems</paratext>
                              </para>
                            </entry>
                            <entry valign="top">
                              <para>
                                <paratext/>
                              </para>
                            </entry>
                          </row>
                          <row>
                            <entry valign="top">
                              <para align="left">
                                <paratext>Lifts, escalators and moving walkways</paratext>
                              </para>
                            </entry>
                            <entry valign="top">
                              <para>
                                <paratext/>
                              </para>
                            </entry>
                          </row>
                          <row>
                            <entry valign="top">
                              <para align="left">
                                <paratext>External solar shading (ie, brise soleil)</paratext>
                              </para>
                            </entry>
                            <entry valign="top">
                              <para>
                                <paratext/>
                              </para>
                            </entry>
                          </row>
                          <row>
                            <entry valign="top">
                              <para align="left">
                                <paratext>[List other fixtures or categories of fixtures that are allocated to the special rate pool. Best practice is to separately identify (and apportion a price to) fixtures on which first-year allowances have been claimed, including separate identification of fixtures on which different first-year allowances have been claimed.]</paratext>
                              </para>
                            </entry>
                            <entry valign="top">
                              <para>
                                <paratext/>
                              </para>
                            </entry>
                          </row>
                          <row>
                            <entry valign="top">
                              <para align="left">
                                <paratext>TOTAL</paratext>
                              </para>
                            </entry>
                            <entry valign="top">
                              <para>
                                <paratext/>
                              </para>
                            </entry>
                          </row>
                        </tbody>
                      </tgroup>
                    </table>
                  </paratext>
                </para>
              </clause>
              <para>
                <paratext>
                  <bold>Plant and machinery fixtures in the main pool</bold>
                </paratext>
              </para>
              <clause id="a000105">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Best practice is to separately identify (and apportion a price to) fixates on which first-year allowances have been claimed, including separate identification of fixtures on which different first-year allowances have been claimed.</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align="left">
                                <paratext>TOTAL</paratext>
                              </para>
                            </entry>
                            <entry valign="top">
                              <para>
                                <paratext/>
                              </para>
                            </entry>
                          </row>
                        </tbody>
                      </tgroup>
                    </table>
                  </paratext>
                </para>
              </clause>
              <para>
                <paratext>Signed by [NAME OF DIRECTOR]</paratext>
              </para>
              <para>
                <paratext>for and on behalf of [NAME OF SELLER]Director</paratext>
              </para>
              <para>
                <paratext>Signed by [NAME OF DIRECTOR]</paratext>
              </para>
              <para>
                <paratext>for and on behalf of [NAME OF BUYER]Director</paratext>
              </para>
              <para>
                <paratext>
                  <bold>OR</bold>
                </paratext>
              </para>
              <para>
                <paratext>Signed by [NAME OF SELLER]</paratext>
              </para>
              <para>
                <paratext>Signed by [NAME OF BUYER]</paratext>
              </para>
            </part>
          </schedule>
          <schedule condition="optional" id="a740391">
            <identifier>Schedule 9</identifier>
            <head align="left" preservecase="true">
              <headtext>Items to be sold at auction</headtext>
            </head>
            <drafting.note id="a445336" jurisdiction="">
              <head align="left" preservecase="true">
                <headtext>Signing the contract</headtext>
              </head>
              <division id="a000106" level="1">
                <para>
                  <paratext>To be valid, a contract disposing of an interest in land must comply with the provisions of section 2 of the Law of Property (Miscellaneous Provisions) Act 1989.</paratext>
                </para>
                <para>
                  <paratext>For more information on section 2, see Practice notes:</paratext>
                </para>
                <list type="bulleted">
                  <list.item>
                    <para>
                      <paratext>
                        <link href="3-107-3777" style="ACTLinkPLCtoPLC">
                          <ital>Contracts: The requirement for written land contracts and section 2 of the LP(MP)A 1989</ital>
                        </link>
                        .
                      </paratext>
                    </para>
                  </list.item>
                  <list.item>
                    <para>
                      <paratext>
                        <link href="https://uk.practicallaw.thomsonreuters.com/w-008-0950?originationContext=document&amp;amp;transitionType=DocumentItem&amp;amp;contextData=(sc.Default)&amp;amp;comp=pluk" style="ACTLinkURL">
                          <ital>Property contracts: signing the contract (SCPC (Third Edition – 2018 Revision))</ital>
                        </link>
                        .
                      </paratext>
                    </para>
                  </list.item>
                </list>
              </division>
            </drafting.note>
            <para>
              <paratext>[INSERT DETAILS]</paratext>
            </para>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SELLER]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SELLER]</paratext>
                        </para>
                      </entry>
                      <entry valign="top">
                        <para>
                          <paratext/>
                        </para>
                      </entry>
                      <entry valign="top">
                        <para align="left">
                          <paratext>....................</paratext>
                        </para>
                      </entry>
                    </row>
                    <row>
                      <entry nameend="3" namest="1" valign="top">
                        <para>
                          <paratext/>
                        </para>
                      </entry>
                    </row>
                    <row>
                      <entry valign="top">
                        <para align="left">
                          <paratext>Signed by [NAME OF DIRECTOR]  for and on behalf of [NAME OF BUYER]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BUYER]</paratext>
                        </para>
                      </entry>
                      <entry valign="top">
                        <para>
                          <paratext/>
                        </para>
                      </entry>
                      <entry valign="top">
                        <para align="left">
                          <paratext>....................</paratext>
                        </para>
                      </entry>
                    </row>
                    <row>
                      <entry nameend="3" namest="1" valign="top">
                        <para>
                          <paratext/>
                        </para>
                      </entry>
                    </row>
                    <row>
                      <entry valign="top">
                        <para align="left">
                          <paratext>Signed by [NAME OF OCCUPIER]</paratext>
                        </para>
                      </entry>
                      <entry valign="top">
                        <para>
                          <paratext/>
                        </para>
                      </entry>
                      <entry valign="top">
                        <para align="left">
                          <paratext>....................</paratext>
                        </para>
                      </entry>
                    </row>
                    <row>
                      <entry valign="top">
                        <para>
                          <paratext/>
                        </para>
                      </entry>
                    </row>
                    <row>
                      <entry nameend="3" namest="1" valign="top">
                        <para>
                          <paratext/>
                        </para>
                      </entry>
                    </row>
                  </tbody>
                </tgroup>
              </table>
            </paratext>
          </para>
        </signature>
      </body>
      <rev.history>
        <rev.item>
          <rev.title>Amendments to VAT, Capital Allowances and SBAs to give further options and information</rev.title>
          <rev.date>20240222</rev.date>
          <rev.author>Added provisions on capital allowances, VAT, SBAs and further options on apportioning the purchase price between the Property and any chattels</rev.author>
          <rev.body>
            <division id="a000001" level="1">
              <para>
                <paratext>We have added more explanations and options for dealing with Capital Allowances (which may be available for fixtures in the Property and for any Plant, Equipment and Machinery that are not fixtures). Added options for apportioning the purchase price between the Property and any chattels to reflect guidance that HMRC, Amended clause 11 (VAT) to include alternative warranties (in 11.2). Added information on structures and buildings allowances.</paratext>
              </para>
            </division>
          </rev.body>
        </rev.item>
        <rev.item>
          <rev.title>Removal of Basic Payment Scheme and cross compliance provisions</rev.title>
          <rev.date>20240118</rev.date>
          <rev.author>Practical Law Agriculture &amp; Rural Land</rev.author>
          <rev.body>
            <division id="a000002" level="1">
              <para>
                <paratext>Amended to reflect the end of Basic Payment Scheme and cross compliance in England the replacement of delinked payments which do not attach to land. Document related to England only. Removed references to Wales as document is to be split to a Welsh version.</paratext>
              </para>
            </division>
          </rev.body>
        </rev.item>
        <rev.item>
          <rev.title>Drafting note on Agri-environment schemes updated (September 2022)</rev.title>
          <rev.date>20220913</rev.date>
          <rev.author>Practical Law Agriculture &amp; Rural land</rev.author>
          <rev.body>
            <division id="a000003" level="1">
              <para>
                <paratext>We have updated the drafting note to our optional Agri-environment agreements clause (clause 22) to reflect the latest government guidance on the Sustainable Farming Scheme which indicates that agreements may not be capable of being transferred.</paratext>
              </para>
            </division>
          </rev.body>
        </rev.item>
        <rev.item>
          <rev.title>Capital allowances (August 2021)</rev.title>
          <rev.date>20210803</rev.date>
          <rev.author>Practical Law Agriculture &amp; Rural land</rev.author>
          <rev.body>
            <division id="a000004" level="1">
              <para>
                <paratext>
                  We have amended the capital allowances election to deal with the two temporary first-year allowances being the super-deduction and special rate allowance (SR allowance) for expenditure on qualifying plant and machinery announced at the Spring 2021 Budget and included in the Finance Act 2021. For more information, see 
                  <link href="https://uk.practicallaw.thomsonreuters.com/w-030-4995?originationContext=document&amp;amp;transitionType=DocumentItem&amp;amp;contextData=(sc.Default)" style="ACTLinkURL">
                    <ital>Practice note, Capital allowances on plant and machinery: Super-deductions and special rate allowances</ital>
                  </link>
                   and 
                  <link href="2-200-0672" style="ACTLinkPLCtoPLC">
                    <ital>Standard document, Capital allowances: fixtures election</ital>
                  </link>
                  .
                </paratext>
              </para>
            </division>
          </rev.body>
        </rev.item>
        <rev.item>
          <rev.title>Agriculture Act 2020</rev.title>
          <rev.date>20210422</rev.date>
          <rev.author>Practical Law Agriculture &amp; Rural land</rev.author>
          <rev.body>
            <division id="a000005" level="1">
              <para>
                <paratext>We have updated this document in line with the Agriculture Act 2020 including removing references to Common Agricultural Policy which no longer has direct application in the UK. The references to Greening Payments have also been removed which no longer apply.</paratext>
              </para>
            </division>
          </rev.body>
        </rev.item>
        <rev.item>
          <rev.title>Standard Commercial Property Conditions (Third Edition – 2018 Revision)</rev.title>
          <rev.date>20200819</rev.date>
          <rev.author>Practical Law Agriculture &amp; Rural Land</rev.author>
          <rev.body>
            <division id="a000006" level="1">
              <para>
                <paratext>We have updated the version of the Standard Commercial Property Conditions (SCPC) that is incorporated into this contract. The contract now incorporates SCPC (Third Edition – 2018 Revision) that updates the definition of clearing bank at SCPC1.1.1(c). See definitions clause 1.1, Part 1 Conditions and Part 2 Conditions.</paratext>
              </para>
            </division>
          </rev.body>
        </rev.item>
        <rev.item>
          <rev.title>Woodland Grant Agreements</rev.title>
          <rev.date>20200521</rev.date>
          <rev.author>Practical Law Agriculture &amp; Rural Land</rev.author>
          <rev.body>
            <division id="a000007" level="1">
              <para>
                <paratext>We have updated the drafting note for the optional clause 23 (Woodland Grant Agreements) to add links to the Forestry Commission Operations Note 14, Successor's Form and Administrative Hub office information.</paratext>
              </para>
            </division>
          </rev.body>
        </rev.item>
        <rev.item>
          <rev.title>Confidentiality clause</rev.title>
          <rev.date>20171031</rev.date>
          <rev.author>Practical Law Agriculture and Rural Land</rev.author>
          <rev.body>
            <division id="a000008" level="1">
              <para>
                <paratext>
                  We have added an optional confidentiality clause (
                  <internal.reference refid="a429621">clause 34</internal.reference>
                  ).
                </paratext>
              </para>
            </division>
          </rev.body>
        </rev.item>
        <rev.item>
          <rev.title>General maintenance</rev.title>
          <rev.date>20160812</rev.date>
          <rev.author>Click here to enter the Resource History Author</rev.author>
          <rev.body>
            <division id="a000009" level="1">
              <para>
                <paratext>
                  We have reviewed this document as part of general maintenance. Amendments include the addition of Seller's warranties in relation to assets other than Property (
                  <internal.reference refid="a519187">clause 2.3</internal.reference>
                  ) and the addition of 
                  <internal.reference refid="a602364">clause 13</internal.reference>
                  , which deals with management of the Property between exchange and completion. We have amended the definition of Livestock to include any offspring produced after exchange of contracts. We have amended the disputes clauses (
                  <internal.reference refid="a318431">clause 26</internal.reference>
                   and 
                  <internal.reference refid="a689731">clause 27</internal.reference>
                  ): disputes relating to tenant right and grant schemes are referred to expert determination, and there is an option to refer disputes about the basic payment scheme to either expert determination or arbitration. We have amended the water abstraction licence clause (
                  <internal.reference refid="a379051">clause 25</internal.reference>
                  ) to reflect the assumption that the Seller is transferring the whole of their abstraction licence to the Buyer, and indicated how to reflect an apportionment in the drafting note. Other amendments include changes to the clauses dealing with early access (
                  <internal.reference refid="a186918">clause 20</internal.reference>
                  ), holdover (
                  <internal.reference refid="a231808">clause 18</internal.reference>
                  ), ownership of growing crops (
                  <internal.reference refid="a920133">clause 2.4</internal.reference>
                  ), and agri-environment schemes (
                  <internal.reference refid="a483520">clause 22</internal.reference>
                  ), with the changes largely relating to clarity and consistency. To create a more balanced position on the early access clause we have added a right for the Buyer to have compensation for cultivations if the Buyer rescinds.
                </paratext>
              </para>
            </division>
          </rev.body>
        </rev.item>
        <rev.item>
          <rev.title>Woodland Grant Agreements</rev.title>
          <rev.date>20160428</rev.date>
          <rev.author>Click here to enter the Resource History Author</rev.author>
          <rev.body>
            <division id="a000010" level="1">
              <para>
                <paratext>
                  We have reviewed 
                  <internal.reference refid="a461090">clause 23</internal.reference>
                   (Woodland Grant Agreements) as part of general document maintenance. Changes include the addition of a definition of the Forestry Commission, an optional Seller's indemnity and a disputes provision. We have also updated the accompanying drafting note.
                </paratext>
              </para>
            </division>
          </rev.body>
        </rev.item>
        <rev.item>
          <rev.title>Tenant right</rev.title>
          <rev.date>20160315</rev.date>
          <rev.author>Click here to enter the Resource History Author</rev.author>
          <rev.body>
            <division id="a000011" level="1">
              <para>
                <paratext>We have amended the tenant right clause as part of general document maintenance. Amendments include providing more detail about the items of tenant right and providing for payment of the valuation on completion or a specified period after its determination, whichever is the later.</paratext>
              </para>
            </division>
          </rev.body>
        </rev.item>
        <rev.item>
          <rev.title>Notices clause</rev.title>
          <rev.date>20151021</rev.date>
          <rev.author>Practical Law Property</rev.author>
          <rev.body>
            <division id="a000012" level="1">
              <para>
                <paratext>
                  We have amended the notices clause in this document for consistency with 
                  <link href="1-616-5904" style="ACTLinkPLCtoPLC">
                    <ital>Standard clause, Notices clause for use with a property commercial sale contract</ital>
                  </link>
                  .
                </paratext>
              </para>
            </division>
          </rev.body>
        </rev.item>
        <rev.item>
          <rev.title>End of milk quota</rev.title>
          <rev.date>20150610</rev.date>
          <rev.author>Click here to enter the Resource History Author</rev.author>
          <rev.body>
            <division id="a000013" level="1">
              <para>
                <paratext>We have removed the milk quota clause. The milk quota system ended on 31 March 2015.</paratext>
              </para>
            </division>
          </rev.body>
        </rev.item>
        <rev.item>
          <rev.title>Entire agreement clause</rev.title>
          <rev.date>20150206</rev.date>
          <rev.author>Click here to enter the Resource History Author</rev.author>
          <rev.body>
            <division id="a000014" level="1">
              <para>
                <paratext>
                  We have amended the entire agreement clause in line with amendments made to 
                  <link href="7-504-3977" style="ACTLinkPLCtoPLC">
                    <ital>Standard clause, Entire agreement: property documents</ital>
                  </link>
                  .
                </paratext>
              </para>
            </division>
          </rev.body>
        </rev.item>
        <rev.item>
          <rev.title>Change from Single Payment Scheme to Basic Payment Scheme and greening on 1 January 2015</rev.title>
          <rev.date>20141231</rev.date>
          <rev.author>Practical Law Property</rev.author>
          <rev.body>
            <division id="a000015" level="1">
              <para>
                <paratext>
                  We have reviewed and updated 
                  <internal.reference refid="a294234">clause 21</internal.reference>
                   and the related definitions to reflect the Common Agricultural Policy (CAP) reforms that will apply from 1 January 2015, which include the introduction of the Basic Payment Scheme and greening.
                </paratext>
              </para>
            </division>
          </rev.body>
        </rev.item>
        <rev.item>
          <rev.title>General review and update</rev.title>
          <rev.date>20141231</rev.date>
          <rev.author>PLC Service</rev.author>
          <rev.body>
            <division id="a000016" level="1">
              <para>
                <paratext>We have reviewed and updated this document, updating links and making minor changes throughout.</paratext>
              </para>
            </division>
          </rev.body>
        </rev.item>
        <rev.item>
          <rev.title>Review of boilerplate provisions</rev.title>
          <rev.date>20140313</rev.date>
          <rev.author>Practical Law Property</rev.author>
          <rev.body>
            <division id="a000017" level="1">
              <para>
                <paratext>
                  We have reviewed clauses in the document containing provisions analogous to those in 
                  <link href="9-107-3656" style="ACTLinkPLCtoPLC">
                    <ital>Standard document, Boilerplate agreement</ital>
                  </link>
                  . The main clauses that have been changed are the interpretation provisions of 
                  <internal.reference refid="a334591">clause 1</internal.reference>
                   and 
                  <internal.reference refid="a318431">clause 26</internal.reference>
                   and 
                  <internal.reference refid="a196236">clause 31</internal.reference>
                  . We have replaced the governing law and jurisdiction clause with separate clauses for governing law and for jurisdiction.
                </paratext>
              </para>
            </division>
          </rev.body>
        </rev.item>
        <rev.item>
          <rev.title>Structures and Buildings Allowances (August 2020)</rev.title>
          <rev.date>20200902</rev.date>
          <rev.author>Practical Law Agriculture &amp; Rural Land</rev.author>
          <rev.body>
            <division id="a000018" level="1">
              <para>
                <paratext>We have added information about considering Structures and Buildings Allowances into the drafting notes for clause 15 (Capital Allowances).</paratext>
              </para>
            </division>
          </rev.body>
        </rev.item>
      </rev.history>
    </standard.doc>
  </n-docbody>
</n-document>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D419E87-9292-467D-9189-903424013D88}">
  <ds:schemaRefs>
    <ds:schemaRef ds:uri="http://www.w3.org/2001/XMLSchema"/>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9D5623BC-4259-412C-9A85-29FEC28097A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Hannon</dc:creator>
  <cp:lastModifiedBy>Maria Murray</cp:lastModifiedBy>
  <cp:revision>3</cp:revision>
  <cp:lastPrinted>2024-09-19T14:33:00Z</cp:lastPrinted>
  <dcterms:created xsi:type="dcterms:W3CDTF">2024-09-20T07:27:00Z</dcterms:created>
  <dcterms:modified xsi:type="dcterms:W3CDTF">2024-09-20T07:38:00Z</dcterms:modified>
</cp:coreProperties>
</file>